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65.65pt;height:66.8pt;margin-top:39pt;margin-left:5.2pt;mso-position-horizontal-relative:margin;mso-wrap-distance-left:9pt;mso-wrap-distance-right:9pt;position:absolute;z-index:251658240" filled="f" stroked="f">
            <v:textbox inset="0,0,0,0">
              <w:txbxContent>
                <w:p>
                  <w:pPr>
                    <w:pStyle w:val="Bodytext20"/>
                    <w:spacing w:after="62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20"/>
                    <w:spacing w:after="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 side="right"/>
          </v:shape>
        </w:pict>
      </w: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0" w:name="bookmark0"/>
      <w:bookmarkEnd w:id="0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0.95pt;height:47.05pt" o:allowincell="f">
            <v:imagedata r:id="rId4" o:title=""/>
          </v:shape>
        </w:pict>
      </w:r>
    </w:p>
    <w:p>
      <w:pPr>
        <w:pStyle w:val="Bodytext3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i w:val="0"/>
          <w:iCs w:val="0"/>
          <w:color w:val="000000"/>
          <w:lang w:val="fa-IR" w:eastAsia="fa-IR"/>
        </w:rPr>
        <w:t xml:space="preserve">قوه قضائیه </w:t>
      </w:r>
    </w:p>
    <w:p>
      <w:pPr>
        <w:pStyle w:val="Bodytext20"/>
        <w:framePr w:wrap="auto"/>
        <w:spacing w:line="446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اطلاعیه در خصوص موضوع فعالیت اشخاص حقوقی </w:t>
      </w:r>
      <w:bookmarkStart w:id="1" w:name="bookmark2"/>
      <w:bookmarkEnd w:id="1"/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 در ارتباط با موضوع بند اخیر نامه شماره ۹۲٫۱۹۵۱۳ مورخ ۱۳۹۲٫۰۲٫۰۸ و در اجرای تکالیف ماده ۶۲ قانون برنامه پنجم توسعه نسبت به بررسی لزوم اخذ مجوز موضوعات فعالیت اشخاص حقوقی شرکتهای تجاری و موسسات غیر تجاری ( به استحضار می رساند :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درخواست مجوزات ارسالی از سوی سازمانها و ادارات مختلف و همچنین در خواست برخی از واحد های ثبتی مبنی بر بررسی مجدد موضوع فعالیت اشخاص حقوقی مورد تطبیق با الزامات و مستندات قانونی قرار گرفت که در نتیجه با در نظر گرفتن تکالیف ماده ۶۲ قانون برنامه پنجم توسعه و در راستای حذف مجوزات غیر ضرور و غیر مستند و تطبیق موضوعات فعالیت اشخاص حقوقی با قوانین و مقررات جاری کشور در مجموع تعدادی از موضوعات فعالیت بدون اخذ مجوز قابلیت ثبت نزد مرجع ثبت شرکت ها را داشته و برخی دیگر نیز با توجه به تصریح قوانین و مقررات قبل از ثبت نزد مرجع ثبت شرکت ها می بایستی از مرجع مرتبط مجوز اخذ نمایند.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بنابراین با بررسی موارد مذکور مشخص گردید، بسیاری از دستگاههای اجرایی، اعطای پروانه فعالیت را منوط به ثبت نزد مرجع ثبت شرکتها بیان نموده اند و بطور کلی مجوزی مبنی بر ثبت صادر نمی نمایند. بلکه به نحوی از بلامانع بودن ثبت شرکتهای زیر مجموعه و بررسی فعالیت پس از ثبت را در نامه های خود منعکس می نمایند . لذا مبانی قانونی بودن موکول بودن فعالیت به اخذ مجوز و همچنین شیوه صدور ، تمدید و یا لغو مجوز توسط مراجع مرتبط بیان نشده است . </w:t>
      </w:r>
    </w:p>
    <w:p>
      <w:pPr>
        <w:pStyle w:val="Bodytext10"/>
        <w:framePr w:wrap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عنایت به مراتب فوق مقتضی است در متن آگهی های تاسیس و تغییرات موضوع، موارد ذیل لحاظ گردد. </w:t>
      </w:r>
    </w:p>
    <w:p>
      <w:pPr>
        <w:pStyle w:val="Bodytext10"/>
        <w:framePr w:wrap="auto"/>
        <w:ind w:right="72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-۱ استفاده از عنوان کلی ) ثبت موضوع فعالیت مذکور بمنزله اخذ و صدور پروانه فعالیت نمی باشد در آگهی های تاسیس و تغییرات موضوع پیش بینی گردد که این موضوع موجب اطلاع عموم از عدم ارتباط موضوعی ثبت با صدور مجوز از مراجع ذیربط می گردد . </w:t>
      </w:r>
    </w:p>
    <w:p>
      <w:pPr>
        <w:pStyle w:val="Bodytext10"/>
        <w:framePr w:wrap="auto"/>
        <w:spacing w:line="350" w:lineRule="auto"/>
        <w:ind w:right="72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-۲ در آگهی ثبتی در خصوص موضوعاتی که قبل از ثبت نیاز به مجوز ندارد و تصریح قانونگذار مبنی بر نظارت بر فعالیت بعد از ثبت میباشد از عبارت پس از اخذ مجوزهای لازم استفاده گردد . </w:t>
      </w:r>
    </w:p>
    <w:p>
      <w:pPr>
        <w:pStyle w:val="Heading310"/>
        <w:keepNext/>
        <w:keepLines/>
        <w:framePr w:wrap="auto"/>
        <w:ind w:left="0" w:right="7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بر طبق بند ۲ ماده ۸ لایحه اصلاحی قانون تجارت، موضوع شرکت میبایستی صریح و منجز باشد لذا مراجع ثبت شرکتها از عناوین کلی مانند هرگونه فعالیت مجاز در ثبت موضوع خودداری نمایند. </w:t>
      </w:r>
      <w:bookmarkStart w:id="2" w:name="bookmark4"/>
      <w:bookmarkEnd w:id="2"/>
    </w:p>
    <w:p>
      <w:pPr>
        <w:pStyle w:val="Bodytext10"/>
        <w:framePr w:wrap="auto"/>
        <w:spacing w:line="350" w:lineRule="auto"/>
        <w:ind w:right="72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pgSz w:w="11900" w:h="16840"/>
          <w:pgMar w:top="333" w:right="1403" w:bottom="333" w:left="1437" w:header="0" w:footer="3" w:gutter="0"/>
          <w:pgNumType w:start="2"/>
          <w:cols w:space="720"/>
          <w:bidi/>
          <w:docGrid w:linePitch="360"/>
        </w:sect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-۴ بر طبق ماده ۶۲ قانون برنامه پنجم توسعه، چنانچه دستگاههای اجرایی، فعالیت اشخاص حقیقی و حقوقی را منوط به اخذ مجوز تلقی نمایند می بایستی، نوع مجوز و فعالیت مربوطه و نیز مبانی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 id="_x0000_s1027" type="#_x0000_t202" style="width:65.65pt;height:66.8pt;margin-top:37pt;margin-left:5.2pt;mso-position-horizontal-relative:margin;mso-wrap-distance-left:9pt;mso-wrap-distance-right:9pt;position:absolute;z-index:251659264" filled="f" stroked="f">
            <v:textbox inset="0,0,0,0">
              <w:txbxContent>
                <w:p>
                  <w:pPr>
                    <w:pStyle w:val="Bodytext20"/>
                    <w:spacing w:after="12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301"/>
                    <w:spacing w:after="8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00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تاریخ : </w:t>
                  </w:r>
                </w:p>
                <w:p>
                  <w:pPr>
                    <w:pStyle w:val="Bodytext301"/>
                    <w:spacing w:after="10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00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 side="right"/>
          </v:shape>
        </w:pict>
      </w: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3" w:name="bookmark0_0"/>
      <w:bookmarkEnd w:id="3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i1028" type="#_x0000_t75" style="width:60.95pt;height:47.05pt" o:allowincell="f">
            <v:imagedata r:id="rId4" o:title=""/>
          </v:shape>
        </w:pic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  <w:bookmarkStart w:id="4" w:name="bookmark2_0"/>
      <w:bookmarkEnd w:id="4"/>
    </w:p>
    <w:p>
      <w:pPr>
        <w:pStyle w:val="Bodytext201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b/>
          <w:bCs/>
          <w:i w:val="0"/>
          <w:iCs w:val="0"/>
          <w:color w:val="000000"/>
          <w:lang w:val="fa-IR" w:eastAsia="fa-IR"/>
        </w:rPr>
        <w:t xml:space="preserve">سازمان ثبت اسناد و املاک کشور </w:t>
      </w:r>
    </w:p>
    <w:p>
      <w:pPr>
        <w:pStyle w:val="Bodytext20"/>
        <w:framePr w:wrap="auto"/>
        <w:spacing w:after="380" w:line="360" w:lineRule="auto"/>
        <w:ind w:right="7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قانونی موکول بودن فعالیت به اخذ مجوز و همچنین شیوه صدور و تمدید را به کارگروه منتخب در قانون مذکور اعلام و در صورت تصویب کارگروه نسبت به اخذ مجوز اقدام گردد. در غیر این صورت الزام اشخاص حقیقی و حقوقی به اخذ مجوز ممنوع می باشد . </w:t>
      </w:r>
    </w:p>
    <w:p>
      <w:pPr>
        <w:pStyle w:val="Bodytext20"/>
        <w:framePr w:wrap="auto"/>
        <w:spacing w:after="420" w:line="360" w:lineRule="auto"/>
        <w:ind w:firstLine="2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در ادامه همانطور که بیان گردید ، در خصوص الزامات اخذ مجوز موضوعات فعالیت، مستندات و مدارک از وزارتخانه ها و سازمانها و مراجع دولتی و عمومی و همچنین مستندات ارائه شده از واحدهای ثبتی مورد بررسی و تحلیل حقوقی قرار گرفت و در یک نگاه کلی میتوان موضوعات را به سه دسته تقسیم نمود : </w:t>
      </w:r>
    </w:p>
    <w:p>
      <w:pPr>
        <w:pStyle w:val="Heading210"/>
        <w:keepNext/>
        <w:keepLines/>
        <w:framePr w:wrap="auto"/>
        <w:spacing w:after="1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الف - موضوعاتی که قابل فعالیت و ثبت نمی باشند . </w:t>
      </w:r>
      <w:bookmarkStart w:id="5" w:name="bookmark4_0"/>
      <w:bookmarkEnd w:id="5"/>
    </w:p>
    <w:p>
      <w:pPr>
        <w:pStyle w:val="Heading210"/>
        <w:keepNext/>
        <w:keepLines/>
        <w:framePr w:wrap="auto"/>
        <w:spacing w:after="1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ب موضوعاتی که نیاز به اخذ مجوز از سازمان و ارگانی ندارند. </w:t>
      </w:r>
      <w:bookmarkStart w:id="6" w:name="bookmark6"/>
      <w:bookmarkEnd w:id="6"/>
    </w:p>
    <w:p>
      <w:pPr>
        <w:pStyle w:val="Heading210"/>
        <w:keepNext/>
        <w:keepLines/>
        <w:framePr w:wrap="auto"/>
        <w:spacing w:after="30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0" w:h="16840"/>
          <w:pgMar w:top="373" w:right="1403" w:bottom="1323" w:left="1437" w:header="0" w:footer="3" w:gutter="0"/>
          <w:pgNumType w:start="3"/>
          <w:cols w:space="720"/>
          <w:bidi/>
          <w:docGrid w:linePitch="360"/>
        </w:sect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ج - موضوعاتی که قبل از ثبت می بایستی از مرجع مربوطه مجوز اخذ نمایند . </w:t>
      </w:r>
      <w:bookmarkStart w:id="7" w:name="bookmark8"/>
      <w:bookmarkEnd w:id="7"/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s1029" type="#_x0000_t75" style="width:63.35pt;height:49.45pt;margin-top:23.75pt;margin-left:191.55pt;mso-position-horizontal-relative:margin;mso-wrap-distance-bottom:47.25pt;mso-wrap-distance-left:26pt;mso-wrap-distance-right:35.2pt;mso-wrap-distance-top:22.75pt;position:absolute;z-index:-251656192">
            <v:imagedata r:id="rId11" o:title=""/>
            <w10:wrap type="square" side="left"/>
          </v:shape>
        </w:pict>
      </w:r>
      <w:r>
        <w:rPr>
          <w:color w:val="auto"/>
          <w:spacing w:val="0"/>
          <w:w w:val="100"/>
          <w:position w:val="0"/>
        </w:rPr>
        <w:pict>
          <v:shape id="_x0000_s1030" type="#_x0000_t202" style="width:26.8pt;height:26.2pt;margin-top:1pt;margin-left:210.25pt;mso-position-horizontal-relative:margin;mso-wrap-distance-left:0;mso-wrap-distance-right:0;position:absolute;z-index:251661312" filled="f" stroked="f">
            <v:textbox inset="0,0,0,0">
              <w:txbxContent>
                <w:p>
                  <w:pPr>
                    <w:pStyle w:val="Picturecaption10"/>
                    <w:ind w:left="-20" w:right="0" w:firstLine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Picturecaption1"/>
                      <w:rFonts w:ascii="Microsoft Uighur" w:hAnsi="Microsoft Uighur" w:cs="Microsoft Uighur"/>
                      <w:color w:val="000000"/>
                      <w:lang w:val="fa-IR" w:eastAsia="fa-IR"/>
                    </w:rPr>
                    <w:t xml:space="preserve">() </w:t>
                  </w:r>
                </w:p>
              </w:txbxContent>
            </v:textbox>
            <w10:wrap anchorx="margin"/>
          </v:shape>
        </w:pict>
      </w:r>
      <w:r>
        <w:rPr>
          <w:color w:val="auto"/>
          <w:spacing w:val="0"/>
          <w:w w:val="100"/>
          <w:position w:val="0"/>
        </w:rPr>
        <w:pict>
          <v:shape id="_x0000_s1031" type="#_x0000_t202" style="width:106.55pt;height:14.4pt;margin-top:73.55pt;margin-left:174.55pt;mso-position-horizontal-relative:margin;mso-wrap-distance-left:0;mso-wrap-distance-right:0;position:absolute;z-index:251662336" filled="f" stroked="f">
            <v:textbox inset="0,0,0,0">
              <w:txbxContent>
                <w:p>
                  <w:pPr>
                    <w:pStyle w:val="Picturecaption10"/>
                    <w:ind w:right="0" w:firstLine="780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Picturecaption1"/>
                      <w:rFonts w:ascii="Microsoft Uighur" w:hAnsi="Microsoft Uighur" w:cs="Microsoft Uighur"/>
                      <w:color w:val="000000"/>
                      <w:lang w:val="fa-IR" w:eastAsia="fa-IR"/>
                    </w:rPr>
                    <w:t xml:space="preserve">قوه قضائیه </w:t>
                  </w:r>
                </w:p>
              </w:txbxContent>
            </v:textbox>
            <w10:wrap anchorx="margin"/>
          </v:shape>
        </w:pict>
      </w:r>
      <w:r>
        <w:rPr>
          <w:color w:val="auto"/>
          <w:spacing w:val="0"/>
          <w:w w:val="100"/>
          <w:position w:val="0"/>
        </w:rPr>
        <w:pict>
          <v:shape id="_x0000_s1032" type="#_x0000_t202" style="width:106.55pt;height:30.25pt;margin-top:90.3pt;margin-left:174.55pt;mso-position-horizontal-relative:margin;mso-wrap-distance-left:9pt;mso-wrap-distance-right:9pt;mso-wrap-distance-top:89.3pt;mso-wrap-style:none;position:absolute;z-index:251663360" filled="f" stroked="f">
            <v:textbox inset="0,0,0,0">
              <w:txbxContent>
                <w:p>
                  <w:pPr>
                    <w:pStyle w:val="Bodytext201"/>
                    <w:spacing w:after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00"/>
                      <w:rFonts w:ascii="Microsoft Uighur" w:hAnsi="Microsoft Uighur" w:cs="Microsoft Uighur"/>
                      <w:b/>
                      <w:bCs/>
                      <w:i w:val="0"/>
                      <w:iCs w:val="0"/>
                      <w:color w:val="000000"/>
                      <w:lang w:val="fa-IR" w:eastAsia="fa-IR"/>
                    </w:rPr>
                    <w:t xml:space="preserve">سازمان ثبت اسناد و املاک کشور </w:t>
                  </w:r>
                </w:p>
              </w:txbxContent>
            </v:textbox>
            <w10:wrap type="square" side="left"/>
          </v:shape>
        </w:pict>
      </w:r>
      <w:r>
        <w:rPr>
          <w:color w:val="auto"/>
          <w:spacing w:val="0"/>
          <w:w w:val="100"/>
          <w:position w:val="0"/>
        </w:rPr>
        <w:pict>
          <v:shape id="_x0000_s1033" type="#_x0000_t202" style="width:20.15pt;height:14.7pt;margin-top:88.15pt;margin-left:4.9pt;mso-position-horizontal-relative:margin;mso-wrap-distance-left:9pt;mso-wrap-distance-right:9pt;mso-wrap-style:none;position:absolute;z-index:251664384" filled="f" stroked="f">
            <v:textbox inset="0,0,0,0">
              <w:txbxContent>
                <w:p>
                  <w:pPr>
                    <w:pStyle w:val="Bodytext10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ندارد </w:t>
                  </w:r>
                </w:p>
              </w:txbxContent>
            </v:textbox>
            <w10:wrap type="square" side="right"/>
          </v:shape>
        </w:pict>
      </w:r>
    </w:p>
    <w:p>
      <w:pPr>
        <w:pStyle w:val="Bodytext10"/>
        <w:framePr w:wrap="auto"/>
        <w:spacing w:after="240" w:line="415" w:lineRule="auto"/>
        <w:ind w:right="1900" w:firstLine="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شماره: تاریخ : پیوست </w:t>
      </w:r>
    </w:p>
    <w:p>
      <w:pPr>
        <w:pStyle w:val="Bodytext10"/>
        <w:framePr w:wrap="auto"/>
        <w:spacing w:after="320" w:line="341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 برخی از فعالیتهای که از امور حاکمیتی نظام میباشد و بر طبق قانون اساسی و قانون خدمات کشوری و قوانین برنامه چهارم و پنجم توسعه در اختیار دولت میباشد از جمله موارد ذیل می باشد : </w:t>
      </w:r>
    </w:p>
    <w:p>
      <w:pPr>
        <w:pStyle w:val="Bodytext10"/>
        <w:framePr w:wrap="auto"/>
        <w:spacing w:after="14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-۱ سیاست گذاری برنامه ریزی و نظارت در بخشهای کلان اقتصادی، اجتماعی ، فرهنگی ، سیاسی </w:t>
      </w:r>
    </w:p>
    <w:p>
      <w:pPr>
        <w:pStyle w:val="Bodytext10"/>
        <w:framePr w:wrap="auto"/>
        <w:spacing w:after="14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 قانونگذاری، امور ثبتی ، استقرار نظم و امنیت و اداره امور قضایی کشور </w:t>
      </w:r>
    </w:p>
    <w:p>
      <w:pPr>
        <w:pStyle w:val="Bodytext10"/>
        <w:framePr w:wrap="auto"/>
        <w:spacing w:after="14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حفظ تمامیت ارضی و ایجاد آمادگی دفاعی و دفاع ملی کشور </w:t>
      </w:r>
    </w:p>
    <w:p>
      <w:pPr>
        <w:pStyle w:val="Bodytext10"/>
        <w:framePr w:wrap="auto"/>
        <w:spacing w:after="8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اداره امور داخلی، مالیه عمومی، تنظیم روابط کار و روابط خارج کشور </w:t>
      </w:r>
    </w:p>
    <w:p>
      <w:pPr>
        <w:pStyle w:val="Bodytext10"/>
        <w:framePr w:wrap="auto"/>
        <w:spacing w:after="14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-۵ مدیریت فضای فرکانس کشور </w:t>
      </w:r>
    </w:p>
    <w:p>
      <w:pPr>
        <w:pStyle w:val="Bodytext10"/>
        <w:framePr w:wrap="auto"/>
        <w:spacing w:after="14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تحقیقات بنیادی، آمار و اطلاعات ملی و سایر موارد </w:t>
      </w:r>
    </w:p>
    <w:p>
      <w:pPr>
        <w:pStyle w:val="Bodytext10"/>
        <w:framePr w:wrap="auto"/>
        <w:spacing w:after="48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استخراج و اکتشاف و بهره برداری از معادن نفت و گاز ) با عنایت به ملی شدن صنعت نفت و گاز) </w:t>
      </w:r>
    </w:p>
    <w:p>
      <w:pPr>
        <w:pStyle w:val="Bodytext10"/>
        <w:framePr w:wrap="auto"/>
        <w:spacing w:line="341" w:lineRule="auto"/>
        <w:ind w:firstLine="1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اما برخی دیگر از فعالیتها به موجب تصریح در قوانین جاری کشور توسط اشخاص منع شده اند . که می توان به موارد ذیل اشاره نمود : </w:t>
      </w:r>
    </w:p>
    <w:p>
      <w:pPr>
        <w:pStyle w:val="Bodytext10"/>
        <w:framePr w:wrap="auto"/>
        <w:spacing w:line="329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۱ خرید و فروش اشیاء عتیقه و میراث فرهنگی و هنری </w:t>
      </w:r>
    </w:p>
    <w:p>
      <w:pPr>
        <w:pStyle w:val="Bodytext10"/>
        <w:framePr w:wrap="auto"/>
        <w:spacing w:line="329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-۲- ممنوعیت به کارگیری تجهیزات ماهواره ای </w:t>
      </w:r>
    </w:p>
    <w:p>
      <w:pPr>
        <w:pStyle w:val="Bodytext10"/>
        <w:framePr w:wrap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ممنوعیت خرید و فروش و نگهداری مواد مخدر </w:t>
      </w:r>
    </w:p>
    <w:p>
      <w:pPr>
        <w:pStyle w:val="Bodytext10"/>
        <w:framePr w:wrap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۴- ساخت و نگهداری سلاح و مهمات جنگی </w:t>
      </w:r>
    </w:p>
    <w:p>
      <w:pPr>
        <w:pStyle w:val="Bodytext10"/>
        <w:framePr w:wrap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۵- ترویج و آموزش علوم غیر اسلامی و غیر دینی </w:t>
      </w:r>
    </w:p>
    <w:p>
      <w:pPr>
        <w:pStyle w:val="Bodytext10"/>
        <w:framePr w:wrap="auto"/>
        <w:spacing w:line="329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شراکت و سرمایه گذاری در قمار و معاملات ربوی و غیر قانونی </w:t>
      </w:r>
    </w:p>
    <w:p>
      <w:pPr>
        <w:pStyle w:val="Bodytext10"/>
        <w:framePr w:wrap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اخذ کمک و وجوه برای زلزله زدگان وبلایای طبیعی و حوادث غیر مترقبه توسط اشخاص حقوقی ممنوع می باشد. </w:t>
      </w:r>
    </w:p>
    <w:p>
      <w:pPr>
        <w:pStyle w:val="Bodytext10"/>
        <w:framePr w:wrap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 ساخت ، خرید ، فروش و حمل مشروبات الکلی </w:t>
      </w:r>
    </w:p>
    <w:p>
      <w:pPr>
        <w:pStyle w:val="Bodytext10"/>
        <w:framePr w:wrap="auto"/>
        <w:spacing w:after="120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333" w:right="1340" w:bottom="1324" w:left="1443" w:header="0" w:footer="3" w:gutter="0"/>
          <w:pgNumType w:start="4"/>
          <w:cols w:space="720"/>
          <w:bidi/>
          <w:docGrid w:linePitch="360"/>
        </w:sect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و سایر موارد که منع قانونی و شرعی دارد . </w:t>
      </w:r>
    </w:p>
    <w:p>
      <w:pPr>
        <w:pStyle w:val="Bodytext40"/>
        <w:framePr w:wrap="auto"/>
        <w:spacing w:line="271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4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</w:p>
    <w:p>
      <w:pPr>
        <w:pStyle w:val="Heading110"/>
        <w:keepNext/>
        <w:keepLines/>
        <w:framePr w:wrap="auto"/>
        <w:spacing w:line="271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 id="_x0000_s1034" type="#_x0000_t202" style="width:65.65pt;height:66.8pt;margin-top:14pt;margin-left:5.2pt;mso-position-horizontal-relative:margin;mso-wrap-distance-left:9pt;mso-wrap-distance-right:9pt;position:absolute;z-index:251665408" filled="f" stroked="f">
            <v:textbox inset="0,0,0,0">
              <w:txbxContent>
                <w:p>
                  <w:pPr>
                    <w:pStyle w:val="Bodytext20"/>
                    <w:spacing w:after="12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301"/>
                    <w:spacing w:after="8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00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تاریخ : </w:t>
                  </w:r>
                </w:p>
                <w:p>
                  <w:pPr>
                    <w:pStyle w:val="Bodytext301"/>
                    <w:spacing w:after="10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00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 side="right"/>
          </v:shape>
        </w:pict>
      </w: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  <w:bookmarkStart w:id="8" w:name="bookmark0_1"/>
      <w:bookmarkEnd w:id="8"/>
    </w:p>
    <w:p>
      <w:pPr>
        <w:pStyle w:val="Bodytext40"/>
        <w:framePr w:wrap="auto"/>
        <w:spacing w:line="18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4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قضائیه </w:t>
      </w:r>
    </w:p>
    <w:p>
      <w:pPr>
        <w:pStyle w:val="Bodytext201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b/>
          <w:bCs/>
          <w:i w:val="0"/>
          <w:iCs w:val="0"/>
          <w:color w:val="000000"/>
          <w:lang w:val="fa-IR" w:eastAsia="fa-IR"/>
        </w:rPr>
        <w:t xml:space="preserve">سازمان ثبت اسناد و املاک کشور </w:t>
      </w:r>
    </w:p>
    <w:p>
      <w:pPr>
        <w:pStyle w:val="Bodytext20"/>
        <w:framePr w:wrap="auto"/>
        <w:spacing w:after="100"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ب از آنجا که برخی دیگر از موضوعات فعالیت اشخاص حقوقی ، بر طبق قوانین و مقررات قبل از ثبت نیاز به اخذ مجوز از مرجع خاصی ندارند و تصریح قانونی نیز بیانگر نظارت بر فعالیت بعد ثبت می باشد. لذا بسیاری از موضوعات قبلی که بر طبق رویه و بطور سلیقه ای در مراجع ثبت شرکت ها و موسسات غیر تجاری منوط به اخذ مجوز می گردید، یا مستند قانونی نداشته و یا تصریح قانونگذار مبنی بر نظارت بعد از ثبت میباشد که اقدام غیر موجه مراجع ثبتی ، تکلیف اضافی بر اشخاص حقوقی بار می گردید. لذا اداره کل ثبت شرکتها و موسسات غیر تجاری در راستای تکالیف ذاتی خود ، مبنی بر نظارت بر عملکرد مراجع ثبتی در حوزه ثبت شرکتها و موسسات غیر تجاری و ایجاد رویه واحد با رویکرد تسهیل فرایند ثبت انواع اشخاص حقوقی جهت بهبود فضای کسب و کار نسبت به بررسی مجدد موضوعات اقدام و در نتیجه مراجع ثبتی در موارد ذیل نیازی به اخذ مجوز قبل از ثبت موضوعات ندارند :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دلالی و حق العمل کاری و نمایندگی تجاری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تصدی به فعالیت خدماتی و نظافتی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تصدی به نمایشگاه عمومی و انبارهای عمومی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عملیات بارگیری و تخلیه و یا ترخیص کالا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اداره سالنهای نمایش و برگزاری مراسم ها و جشن ها و یا کنفرانس ها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--- ارائه خدمات راجع به آب رسانی و گاز رسانی و یا برق رسانی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عملیات ساخت در امور عمرانی از قبیل احداث ساختمان و راه و یا شبکه های آب رسانی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کشاورزی و یا مجتمع پرورش حیوانات و ماهیان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100" w:line="24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فعالیت نظام مهندسی و طراحی پروژه های و سد سازی و امثال آن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140" w:line="24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۱۰- فعالیت بازار یابی غیر هرمی و غیر شبکه ای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100" w:line="24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۱۱ - تاسیس مرکز روان شناسی و امور مشاوره و روان کاوی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100" w:line="24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۱۲ بازرسی کالا و کنترل کیفیت و صدور و مشاوره کیفی استاندارد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 w:line="396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۱۳ - طراحی و اجرا سیستم ایمنی ، خدمات شارژ ، فروش وسائل و تجهیزات و ادوات ایمنی و نجات آتش نشانی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۱۴ - تصدی به مراکز معاینه فنی در خصوص خودرو و موتور سیکلت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۱۵ انجام خدمات امدادی و کمکهای اولیه در هنگام بروز حوادث و موانع طبیعی و غیر مترقبه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۱۶ تولید و ارائه رایانه، تولید و ارائه دستگاههای جانبی تولید و پشتیبانی نرم افزارهای سفارش مشتری ارائه و پشتیبانی بسته های نرم افزاری و CD اطلاعاتی تولید داخل خدمات شبکه های اطلاع رسانی ۱۷ - مشاوره و نظارت بر اجرای طرح های انفورماتیکی شبکه داده ها ارائه اجرا و پشتیبانی) </w:t>
      </w:r>
    </w:p>
    <w:p>
      <w:pPr>
        <w:pStyle w:val="Bodytext2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100" w:line="36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sectPr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0" w:h="16840"/>
          <w:pgMar w:top="362" w:right="1391" w:bottom="362" w:left="1437" w:header="0" w:footer="3" w:gutter="0"/>
          <w:pgNumType w:start="5"/>
          <w:cols w:space="720"/>
          <w:bidi/>
          <w:docGrid w:linePitch="360"/>
        </w:sect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۱۸ - امور مربوط به محیط زیست و فعالیت های زیست محیطی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 id="_x0000_s1035" type="#_x0000_t202" style="width:65.65pt;height:67.1pt;margin-top:37pt;margin-left:0.05pt;mso-position-horizontal-relative:margin;mso-wrap-distance-left:9pt;mso-wrap-distance-right:9pt;position:absolute;z-index:251666432" filled="f" stroked="f">
            <v:textbox inset="0,0,0,0">
              <w:txbxContent>
                <w:p>
                  <w:pPr>
                    <w:pStyle w:val="Bodytext301"/>
                    <w:spacing w:after="10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00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301"/>
                    <w:spacing w:after="10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00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تاریخ : </w:t>
                  </w:r>
                </w:p>
                <w:p>
                  <w:pPr>
                    <w:pStyle w:val="Bodytext301"/>
                    <w:spacing w:after="10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00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/>
          </v:shape>
        </w:pict>
      </w: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9" w:name="bookmark0_2"/>
      <w:bookmarkEnd w:id="9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i1036" type="#_x0000_t75" style="width:60.95pt;height:47.05pt" o:allowincell="f">
            <v:imagedata r:id="rId4" o:title=""/>
          </v:shape>
        </w:pic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قوه قضائیر </w:t>
      </w:r>
      <w:bookmarkStart w:id="10" w:name="bookmark2_1"/>
      <w:bookmarkEnd w:id="10"/>
    </w:p>
    <w:p>
      <w:pPr>
        <w:pStyle w:val="Bodytext201"/>
        <w:framePr w:wrap="auto"/>
        <w:spacing w:after="3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00"/>
          <w:rFonts w:ascii="Microsoft Uighur" w:hAnsi="Microsoft Uighur" w:cs="Microsoft Uighur"/>
          <w:b/>
          <w:bCs/>
          <w:i w:val="0"/>
          <w:iCs w:val="0"/>
          <w:color w:val="000000"/>
          <w:lang w:val="fa-IR" w:eastAsia="fa-IR"/>
        </w:rPr>
        <w:t xml:space="preserve">سازمان ثبت اسناد و املاک کشور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۱۹ موضوعات مربوط به تجارت الکترونیک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۲۰ - انتشار نشریه و یا انجام فعالیت های مطبوعاتی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۲۱ - انجام فعالیتهای حقوقی و وکالت و داوری و حل و فصل دعاوی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۲۲ - صندوقهای حمایت از توسعه بخش کشاورزی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-۲۳ تصدی به فعالیت در زمینه کاریابی، مشاوره شغلی ارائه تسهیلات به جویندگان کار مشاوره روابط کار و کارگر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۲۴ طراحی و توسعه بازیهای رایانه ای و سرگرمی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۲۵ انجام خدمات حمل و نقل درون شهری مسافر و کالا و مرسولات و پیک موتوری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-۲۶ - کارگزاری ترابری دریایی انواع تخلیه و بارگیری و بازرسی کشتی و کالا کشتی ها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-۲۷ آموزش در زمینه مدل کایت و گلایدر و انواع هواپیما و هلی کوپتر و چتر و بالن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10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-۲۸ حمل و نقل ریلی بار و مسافر از قبیل حمل و نقل داخلی و خارجی ریلی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35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۲۹ ارائه خدمات وابسته به حمل و نقل ریلی سرویسهای فنی تعمیر و نگهداری خطوط و شبکه ریلی ۳۰- ارائه خدمات پزشکی از جمله تأسیس بیمارستان زایشگاه آسایشگاه آزمایشگاه لابراتوار، کارخانه در اروسازی ، داروخانه ، حجامت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۳۱ ورود هر نوع فراورده بیولوژیک نظیر سرم و واکسن و فرآورده های آزمایشگاهی و مواد غذایی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ترخیص و ساخت هر نوع دارو با فرآورده بیولوژیک و عرضه و فروش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واردات بذر، پیاز، قلمه ، پیوند ریشه و میوه ، نهال و تخم نباتات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41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-۳۴ ورود و ساخت تبدیل و بسته بندی و فرموله کردن توزیع و صدور کلیه سموم دفع آفات و بیماریهای نباتی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10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۳۵ فروش سموم دفع آفات و بیماریهای نباتی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382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-۳۶- تولید محصولات کشاورزی ارائه خدمات و تأمین نیاز تولید کنندگان کشاورزی تولید محصولات دامی کشاورزی ارائه خدمات به کشاورزان نظیر تسطیح اراضی مشاوره و برگزاری دوره های آموزشی در خصوص کشاورزی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341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۳۷ اشتغال به تهیه و ترکیب و فروش داروها واکسنها، سرمها، مواد بیولوژی و بیمارستانها مخصوص دام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-۳۸ ایجاد موسسات بهداشتی و درمانی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۳۹ - تصدی به فعالیتهایی در خصوص سرویسهای رادیویی خدمات مربوط به تجهیزات رادیویی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۴۰ خدمات اینترنت (ISP) ، توزیع اینترنت (ISDP) ، خدمات انتقال داده ها (PAP) .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0" w:h="16840"/>
          <w:pgMar w:top="373" w:right="1397" w:bottom="1323" w:left="1541" w:header="0" w:footer="3" w:gutter="0"/>
          <w:pgNumType w:start="6"/>
          <w:cols w:space="720"/>
          <w:bidi/>
          <w:docGrid w:linePitch="360"/>
        </w:sect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۴۱- خدمات انتقال داده از طریق ماهواره (SAP) . </w:t>
      </w: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s1037" type="#_x0000_t202" style="width:26.8pt;height:21.9pt;margin-top:1pt;margin-left:210.5pt;mso-position-horizontal-relative:margin;mso-wrap-distance-bottom:95.6pt;mso-wrap-distance-left:44.7pt;mso-wrap-distance-right:53.05pt;mso-wrap-style:none;position:absolute;z-index:251667456" filled="f" stroked="f">
            <v:textbox inset="0,0,0,0">
              <w:txbxContent>
                <w:p>
                  <w:pPr>
                    <w:pStyle w:val="Bodytext40"/>
                    <w:spacing w:line="240" w:lineRule="auto"/>
                    <w:ind w:left="-2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() </w:t>
                  </w:r>
                </w:p>
              </w:txbxContent>
            </v:textbox>
            <w10:wrap type="square" side="left"/>
          </v:shape>
        </w:pict>
      </w:r>
      <w:r>
        <w:rPr>
          <w:color w:val="auto"/>
          <w:spacing w:val="0"/>
          <w:w w:val="100"/>
          <w:position w:val="0"/>
        </w:rPr>
        <w:pict>
          <v:shape id="_x0000_s1038" type="#_x0000_t75" style="width:60.95pt;height:47.05pt;margin-top:22.9pt;margin-left:192.95pt;mso-position-horizontal-relative:margin;mso-wrap-distance-bottom:48.35pt;mso-wrap-distance-left:27.15pt;mso-wrap-distance-right:36.35pt;mso-wrap-distance-top:21.9pt;position:absolute;z-index:-251648000">
            <v:imagedata r:id="rId4" o:title=""/>
            <w10:wrap type="square" side="left"/>
          </v:shape>
        </w:pict>
      </w:r>
      <w:r>
        <w:rPr>
          <w:color w:val="auto"/>
          <w:spacing w:val="0"/>
          <w:w w:val="100"/>
          <w:position w:val="0"/>
        </w:rPr>
        <w:pict>
          <v:shape id="_x0000_s1039" type="#_x0000_t202" style="width:106.55pt;height:51.85pt;margin-top:66.65pt;margin-left:174.8pt;mso-position-horizontal-relative:margin;mso-wrap-distance-left:9pt;mso-wrap-distance-right:9pt;mso-wrap-distance-top:65.65pt;position:absolute;z-index:251669504" filled="f" stroked="f">
            <v:textbox inset="0,0,0,0">
              <w:txbxContent>
                <w:p>
                  <w:pPr>
                    <w:pStyle w:val="Bodytext40"/>
                    <w:spacing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4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قوه قضائیه </w:t>
                  </w:r>
                </w:p>
                <w:p>
                  <w:pPr>
                    <w:pStyle w:val="Bodytext201"/>
                    <w:spacing w:after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00"/>
                      <w:rFonts w:ascii="Microsoft Uighur" w:hAnsi="Microsoft Uighur" w:cs="Microsoft Uighur"/>
                      <w:b/>
                      <w:bCs/>
                      <w:i w:val="0"/>
                      <w:iCs w:val="0"/>
                      <w:color w:val="000000"/>
                      <w:lang w:val="fa-IR" w:eastAsia="fa-IR"/>
                    </w:rPr>
                    <w:t xml:space="preserve">سازمان ثبت اسناد و املاک کشور </w:t>
                  </w:r>
                </w:p>
              </w:txbxContent>
            </v:textbox>
            <w10:wrap type="square" side="left"/>
          </v:shape>
        </w:pict>
      </w:r>
    </w:p>
    <w:p>
      <w:pPr>
        <w:pStyle w:val="Bodytext10"/>
        <w:framePr w:wrap="auto"/>
        <w:spacing w:after="120" w:line="240" w:lineRule="auto"/>
        <w:ind w:left="980"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شماره: </w:t>
      </w:r>
    </w:p>
    <w:p>
      <w:pPr>
        <w:pStyle w:val="Bodytext10"/>
        <w:framePr w:wrap="auto"/>
        <w:spacing w:after="120" w:line="240" w:lineRule="auto"/>
        <w:ind w:left="880"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تاریخ : </w:t>
      </w:r>
    </w:p>
    <w:p>
      <w:pPr>
        <w:pStyle w:val="Bodytext10"/>
        <w:framePr w:wrap="auto"/>
        <w:spacing w:after="580" w:line="240" w:lineRule="auto"/>
        <w:ind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پیوست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12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۴۲ خدمات عمومی تلفن ثابت (PSTN) ، خدمات مخابراتی ارتباط همراه بین المللی ماهواره ای </w:t>
      </w:r>
    </w:p>
    <w:p>
      <w:pPr>
        <w:pStyle w:val="Bodytext401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400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(GMPCS)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12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۴۳ عرضه خدمات پستی و مراسلات داخلی و عرضه و فروش تمبرهای یادگاری و پستی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12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۴۴- تصدی به هرگونه فعالیت ورزشی و تأسیس باشگاه ورزشی - برگزاری دوره های آموزشی تربیت مربی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12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-۴۵ آموزش و تعلیم راهنمایی و رانندگی </w:t>
      </w:r>
    </w:p>
    <w:p>
      <w:pPr>
        <w:pStyle w:val="Bodytext10"/>
        <w:framePr w:wrap="auto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660" w:line="240" w:lineRule="auto"/>
        <w:ind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۴۶ خرید فروش اموال منقول از جمله خودرو و موتور سیکلت و سایر موارد . </w:t>
      </w:r>
    </w:p>
    <w:p>
      <w:pPr>
        <w:pStyle w:val="Bodytext10"/>
        <w:framePr w:wrap="auto"/>
        <w:spacing w:after="120" w:line="384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pgSz w:w="11900" w:h="16840"/>
          <w:pgMar w:top="373" w:right="1403" w:bottom="373" w:left="1437" w:header="0" w:footer="3" w:gutter="0"/>
          <w:pgNumType w:start="7"/>
          <w:cols w:space="720"/>
          <w:bidi/>
          <w:docGrid w:linePitch="360"/>
        </w:sect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نکته : همانطور که بیان شد موضوعات فوق و سایر موضوعاتی که به مقتضای امور تجاری و بازرگانی و اقتصادی در حال و آینده ممکن است در موضوعات اشخاص حقوقی مورد استفاده قرار گیرد و تصریح قانونی مبنی بر اخذ مجوز و رعایت ماده ۶۲ قانون برنامه پنجم توسعه نداشته باشد با درج عبارت پس از اخذ مجوزهای لازم در متن آگهی ثبتی قید شود و نیازی به اخذ مجوز از مراجع مربوطه ندارد .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11" w:name="bookmark0_3"/>
      <w:bookmarkEnd w:id="11"/>
    </w:p>
    <w:p>
      <w:pPr>
        <w:pStyle w:val="Heading210"/>
        <w:keepNext/>
        <w:keepLines/>
        <w:framePr w:wrap="auto"/>
        <w:spacing w:after="240" w:line="166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 id="_x0000_s1040" type="#_x0000_t202" style="width:65.65pt;height:68.85pt;margin-top:12pt;margin-left:60.5pt;mso-position-horizontal-relative:margin;mso-wrap-distance-left:9pt;mso-wrap-distance-right:9pt;position:absolute;z-index:251670528" filled="f" stroked="f">
            <v:textbox inset="0,0,0,0">
              <w:txbxContent>
                <w:p>
                  <w:pPr>
                    <w:pStyle w:val="Bodytext31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1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210"/>
                    <w:spacing w:after="18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1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تاریخ : </w:t>
                  </w:r>
                </w:p>
                <w:p>
                  <w:pPr>
                    <w:pStyle w:val="Bodytext210"/>
                    <w:spacing w:after="14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1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 side="right"/>
          </v:shape>
        </w:pict>
      </w:r>
      <w:r>
        <w:rPr>
          <w:rStyle w:val="Heading21"/>
          <w:rFonts w:ascii="Microsoft Uighur" w:hAnsi="Microsoft Uighur" w:cs="Microsoft Uighur"/>
          <w:lang w:val="fa-IR" w:eastAsia="fa-IR"/>
        </w:rPr>
        <w:t xml:space="preserve">قوه قضائیه قوه قضائیه سازمان ثبت اسناد و املاک کشور </w:t>
      </w:r>
      <w:bookmarkStart w:id="12" w:name="bookmark2_2"/>
      <w:bookmarkEnd w:id="12"/>
    </w:p>
    <w:p>
      <w:pPr>
        <w:pStyle w:val="Bodytext10"/>
        <w:framePr w:wrap="auto"/>
        <w:spacing w:after="380" w:line="379" w:lineRule="auto"/>
        <w:ind w:right="900" w:firstLine="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ج - در خصوص برخی دیگر از موضوعات فعالیت اشخاص حقوقی بموجب تصریح قانونگذار و تکالیف مقرر در قوانین و مقررات ، می بایستی قبل از ثبت نزد مرجع ثبت شرکتها از مراجع ذیصلاح مجوز اخذ گردد. لذا مقتضی است در موارد ذیل مراجع ثبت شرکتها و موسسات غیر تجاری قبل از ثبت موضوعات نسبت به اخذ مجوز از مراجع ذیصلاح اقدام نمایند : </w:t>
      </w:r>
    </w:p>
    <w:tbl>
      <w:tblPr>
        <w:tblStyle w:val="TableNormal"/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5207"/>
        <w:gridCol w:w="1832"/>
        <w:gridCol w:w="3162"/>
        <w:gridCol w:w="127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8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10"/>
              <w:framePr w:wrap="auto"/>
              <w:spacing w:line="240" w:lineRule="auto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ردیف 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موضوعات مرتبط </w:t>
            </w: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اخذ مجوز 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مربوط به امور پولی و بانکی شامل : 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spacing w:line="394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بانک مرکزی جمهوری اسلامی پولی و اعتباری از قبیل بانکها و مؤسسات اعتباری ، تعاونیهای ایران </w:t>
            </w:r>
          </w:p>
        </w:tc>
        <w:tc>
          <w:tcPr>
            <w:tcW w:w="316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</w:tc>
        <w:tc>
          <w:tcPr>
            <w:tcW w:w="1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35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10"/>
              <w:framePr w:wrap="auto"/>
              <w:spacing w:line="379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1- تأسیس و تغییرات و تصمیمات شرکت ، ایجاد و ثبت نهادهای پولی و اعتباری از قبیل بانکها و مؤسسات اعتباری ، تعاونیهای ایران اعتبار صندوقهای قرض الحسنه ، صرافی ها و شرکتهای و اسپاری (لیزینگها) </w:t>
            </w:r>
          </w:p>
          <w:p>
            <w:pPr>
              <w:pStyle w:val="Other10"/>
              <w:framePr w:wrap="auto"/>
              <w:spacing w:line="372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-۲- اشتغال به عملیات بانکی و هرگونه تشکل برای عملیات بانکی و وجوه و اعتبار به صورت دریافت انواع وجوه و اعتبار ، سپرده ، ودیعه و موارد مشابه تحت هر عنوان و اعطای وام و اعتبار و سایر تسهیلات و صدور کارتهای الکترونیکی پرداخت و کارتهای اعتباری </w:t>
            </w:r>
          </w:p>
          <w:p>
            <w:pPr>
              <w:pStyle w:val="Other10"/>
              <w:framePr w:wrap="auto"/>
              <w:spacing w:after="14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معاملات طلا و نقره و ارز </w:t>
            </w:r>
          </w:p>
          <w:p>
            <w:pPr>
              <w:pStyle w:val="Other10"/>
              <w:framePr w:wrap="auto"/>
              <w:spacing w:after="4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۴ ورود و صدور پول رایج ایران و ارز </w:t>
            </w:r>
          </w:p>
          <w:p>
            <w:pPr>
              <w:pStyle w:val="Other10"/>
              <w:framePr w:wrap="auto"/>
              <w:spacing w:after="14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-۵- صدور و تأیید و قبول ضمانت ارزی و ریالی </w:t>
            </w:r>
          </w:p>
          <w:p>
            <w:pPr>
              <w:pStyle w:val="Other10"/>
              <w:framePr w:wrap="auto"/>
              <w:spacing w:after="40" w:line="329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-۶- قبول و نگهداری امانات طلا و نقره و اشیاء گران بها و اوراق بهادار و اسناد رسمی و صندوق امانات </w:t>
            </w:r>
          </w:p>
          <w:p>
            <w:pPr>
              <w:pStyle w:val="Other10"/>
              <w:framePr w:wrap="auto"/>
              <w:spacing w:after="100" w:line="372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- تأسیس شعب و نمایندگی بانکهای خارجی </w:t>
            </w:r>
          </w:p>
        </w:tc>
        <w:tc>
          <w:tcPr>
            <w:tcW w:w="1832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spacing w:after="100" w:line="372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3162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spacing w:before="100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ماده (۹۶) قانون برنامه پنجم توسعه بخشنامه شماره ۹۰٫۳۹۸۵۲-۹۰٫۳٫۲ معاونت استاد سازمان ثبت </w:t>
            </w:r>
          </w:p>
          <w:p>
            <w:pPr>
              <w:pStyle w:val="Other10"/>
              <w:framePr w:wrap="auto"/>
              <w:tabs>
                <w:tab w:val="left" w:pos="161"/>
              </w:tabs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مواد (۱) قانون تنظیم بازار غیر متشکل پولی مصوب ۱۳۸۳ و ماده (۱) آئین نامه اجرایی آن مصوب ۱۳۸۶ آیین نامه اجرایی نحوه تأسیس و عملیات شعب بانکهای خارجی در ایران ۱۳۸۷ </w:t>
            </w:r>
          </w:p>
          <w:p>
            <w:pPr>
              <w:pStyle w:val="Other10"/>
              <w:framePr w:wrap="auto"/>
              <w:tabs>
                <w:tab w:val="left" w:pos="161"/>
              </w:tabs>
              <w:spacing w:line="346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ماده (۱) آئین نامه اجرایی قانون ثبت شعب و نمایندگی شرکتهای خارجی مصوب ۱۳۷۸ </w:t>
            </w:r>
          </w:p>
          <w:p>
            <w:pPr>
              <w:pStyle w:val="Other10"/>
              <w:framePr w:wrap="auto"/>
              <w:tabs>
                <w:tab w:val="left" w:pos="225"/>
              </w:tabs>
              <w:ind w:firstLine="1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ماده (۲) قانون عملیات بانکی بدون ربا مصوب ۱۳۶۵ </w:t>
            </w:r>
          </w:p>
        </w:tc>
        <w:tc>
          <w:tcPr>
            <w:tcW w:w="127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tabs>
                <w:tab w:val="left" w:pos="225"/>
              </w:tabs>
              <w:ind w:firstLine="1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45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20"/>
              <w:framePr w:wrap="auto"/>
              <w:spacing w:before="120"/>
              <w:ind w:left="0" w:right="140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sz w:val="27"/>
                <w:szCs w:val="27"/>
                <w:lang w:val="fa-IR" w:eastAsia="fa-IR"/>
              </w:rPr>
              <w:t xml:space="preserve">۲ </w:t>
            </w:r>
          </w:p>
        </w:tc>
        <w:tc>
          <w:tcPr>
            <w:tcW w:w="5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spacing w:before="80" w:after="40" w:line="302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بیمه ای شامل : </w:t>
            </w:r>
          </w:p>
          <w:p>
            <w:pPr>
              <w:pStyle w:val="Other10"/>
              <w:framePr w:wrap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ثبت تاسيس و تغییرات کلیه شرکتهای بیمه ای با موضوعات بیمه مرکزی ایران تصدی به هرگونه خدمات بیمه ای و نمایندگی بیمه و کارگزاری خدمات بیمه ای و....... </w:t>
            </w:r>
          </w:p>
          <w:p>
            <w:pPr>
              <w:pStyle w:val="Other10"/>
              <w:framePr w:wrap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اخذ نمایندگی از شرکت بیمه - عرضه خدمات بیمه ای بارعایت قانون تأسیس بیمه مرکزی ایران و بیمه گری مصوبات شورای عالی بیمه دستورالعملها و مفاد قرارداد نمایندگی بیمه 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ثبت تاسيس و تغییرات کلیه شرکتهای بیمه ای با موضوعات بیمه مرکزی ایران 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spacing w:before="100" w:line="427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  <w:p>
            <w:pPr>
              <w:pStyle w:val="Other10"/>
              <w:framePr w:wrap="auto"/>
              <w:spacing w:line="415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۱- ماده (۱) و (۳۷) قانون تأسیس بیمه مرکزی ایران </w:t>
            </w:r>
          </w:p>
          <w:p>
            <w:pPr>
              <w:pStyle w:val="Other10"/>
              <w:framePr w:wrap="auto"/>
              <w:spacing w:after="10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قانون تأسیس مؤسسات بیمه </w:t>
            </w:r>
          </w:p>
          <w:p>
            <w:pPr>
              <w:pStyle w:val="Other10"/>
              <w:framePr w:wrap="auto"/>
              <w:spacing w:line="389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غیر دولتی مصوب ۱۳۸۰ </w:t>
            </w:r>
          </w:p>
          <w:p>
            <w:pPr>
              <w:pStyle w:val="Other10"/>
              <w:framePr w:wrap="auto"/>
              <w:spacing w:after="40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آئین نامه تنظیم امور نمایندگی بیمه توسط شورای عالی بیمه </w:t>
            </w:r>
          </w:p>
        </w:tc>
      </w:tr>
    </w:tbl>
    <w:p>
      <w:pPr>
        <w:sectPr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footerReference w:type="first" r:id="rId41"/>
          <w:pgSz w:w="11900" w:h="16840"/>
          <w:pgMar w:top="333" w:right="504" w:bottom="333" w:left="331" w:header="0" w:footer="3" w:gutter="0"/>
          <w:pgNumType w:start="8"/>
          <w:cols w:space="720"/>
          <w:bidi/>
          <w:docGrid w:linePitch="360"/>
        </w:sectPr>
      </w:pP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 id="_x0000_s1041" type="#_x0000_t202" style="width:65.65pt;height:66.8pt;margin-top:39pt;margin-left:60.5pt;mso-position-horizontal-relative:margin;mso-wrap-distance-left:9pt;mso-wrap-distance-right:9pt;position:absolute;z-index:251671552" filled="f" stroked="f">
            <v:textbox inset="0,0,0,0">
              <w:txbxContent>
                <w:p>
                  <w:pPr>
                    <w:pStyle w:val="Bodytext301"/>
                    <w:spacing w:after="62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00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301"/>
                    <w:spacing w:after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00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 side="right"/>
          </v:shape>
        </w:pict>
      </w: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13" w:name="bookmark0_4"/>
      <w:bookmarkEnd w:id="13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i1042" type="#_x0000_t75" style="width:60.95pt;height:47.05pt" o:allowincell="f">
            <v:imagedata r:id="rId4" o:title=""/>
          </v:shape>
        </w:pict>
      </w:r>
    </w:p>
    <w:p>
      <w:pPr>
        <w:pStyle w:val="Bodytext3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i w:val="0"/>
          <w:iCs w:val="0"/>
          <w:color w:val="000000"/>
          <w:lang w:val="fa-IR" w:eastAsia="fa-IR"/>
        </w:rPr>
        <w:t xml:space="preserve">قوه قضائیه </w:t>
      </w:r>
    </w:p>
    <w:p>
      <w:pPr>
        <w:pStyle w:val="Heading210"/>
        <w:keepNext/>
        <w:keepLines/>
        <w:framePr w:wrap="auto"/>
        <w:spacing w:after="0" w:line="446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سازمان ثبت اسناد و املاک کشور </w:t>
      </w:r>
    </w:p>
    <w:tbl>
      <w:tblPr>
        <w:tblStyle w:val="TableNormal"/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5207"/>
        <w:gridCol w:w="1832"/>
        <w:gridCol w:w="3289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268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20"/>
              <w:framePr w:wrap="auto"/>
              <w:spacing w:before="120"/>
              <w:ind w:left="0" w:right="140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bookmarkStart w:id="14" w:name="bookmark2_3"/>
            <w:bookmarkEnd w:id="14"/>
            <w:r>
              <w:rPr>
                <w:rStyle w:val="Other2"/>
                <w:b w:val="0"/>
                <w:bCs w:val="0"/>
                <w:sz w:val="24"/>
                <w:szCs w:val="24"/>
                <w:lang w:val="en-US" w:eastAsia="en-US"/>
              </w:rPr>
              <w:t>۳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20" w:after="60" w:line="331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بورس شامل : </w:t>
            </w:r>
          </w:p>
          <w:p>
            <w:pPr>
              <w:pStyle w:val="Bodytext10"/>
              <w:framePr w:wrap="auto"/>
              <w:spacing w:line="398" w:lineRule="auto"/>
              <w:ind w:firstLine="1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نهادهای مالی از جمله کارگزاران، معامله گران، بازارگردانان ، مشاوران سرمایه گذاری موسسه رتبه بندی صندوق سرمایه گذاری شرکتهای سرمایه گذاری شرکت پردازش اطلاعات مالی شرکتهای تامین سرمایه و صندوق بازنشستگی در قالب موضوع فعالیتهایی از قبیل سرمایه گذاری در سهام وسهم الشركة واحدهای سرمایه گذاری سایر اوراق بهادار ، واسطه گری در خرید و فروش و مشاور و ارزشیابی و تصفیه و پایاپای معامله اوراق بهادار، تحلیل اطلاعات و دریافت دستورهای خرید و فروش فراهم آوردن تسهیلات لازم برای معاملات با تعهد پذیره نویسی و فروش سپرده گذاری و توثیق ، تنظیم روابط بین اشخاصی که در بازار اوراق بهادار فعالیت دارند صدور گواهینامه های حرفه ای مرتبط و انجام تبلیغات و خرید و فروش سهام و سهم الشركة واوراق بهادار همچنین سایر اشخاص حقوقی با هر عنوان از قبیل انجمن و مرکز و گروه و خانه و مجمع که به فعالیتهای مذکور بپردازند صندوق سرمایه گذاری با استفاده از طرح های پس انداز و سرمایه گذاری و مزایای تکمیلی برای بازنشستگان سرمایه گذاری در اوراق بهادار واسطه در معاملات بورسی و اوراق بهادار - فعالیت های کارگزاری - مشاوره - سبدگردانی - پذیره نویسی تعهد پذیره نویسی امور مربوط به ثبت نگهداری انتقال مالکیت اوراق بهادار و تسویه وجوه ارائه خدمات الکترونیکی معاملات اوراق بهادار </w:t>
            </w: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20" w:line="314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سازمان بورس و اوراق بهادار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20" w:line="341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  <w:p>
            <w:pPr>
              <w:pStyle w:val="Bodytext10"/>
              <w:framePr w:wrap="auto"/>
              <w:spacing w:line="41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ماده ۲ قانون توسعه ابزارها و نهادهای مالی جدید مصوب ۱۳۸۸ </w:t>
            </w:r>
          </w:p>
          <w:p>
            <w:pPr>
              <w:pStyle w:val="Bodytext10"/>
              <w:framePr w:wrap="auto"/>
              <w:spacing w:line="41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ماده ۲۵ قانون بورس و اوراق بهادار </w:t>
            </w:r>
          </w:p>
          <w:p>
            <w:pPr>
              <w:pStyle w:val="Bodytext10"/>
              <w:framePr w:wrap="auto"/>
              <w:spacing w:line="401" w:lineRule="auto"/>
              <w:ind w:firstLine="16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بند هـ ماده ۹۹ قانون برنامه پنج ساله پنجم توسعه و بخشنامه صادره از سوی سازمان ثبت </w:t>
            </w:r>
          </w:p>
          <w:p>
            <w:pPr>
              <w:pStyle w:val="Bodytext10"/>
              <w:framePr w:wrap="auto"/>
              <w:tabs>
                <w:tab w:val="left" w:pos="150"/>
              </w:tabs>
              <w:spacing w:line="41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مادتین ۲۸ و ۲۹ قانون بازار بورس </w:t>
            </w:r>
          </w:p>
          <w:p>
            <w:pPr>
              <w:pStyle w:val="Bodytext10"/>
              <w:framePr w:wrap="auto"/>
              <w:spacing w:line="41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اوراق بهادار مصوب ۱۳۸۴ </w:t>
            </w:r>
          </w:p>
          <w:p>
            <w:pPr>
              <w:pStyle w:val="Bodytext10"/>
              <w:framePr w:wrap="auto"/>
              <w:tabs>
                <w:tab w:val="left" w:pos="156"/>
              </w:tabs>
              <w:spacing w:line="425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دستور العمل نحوه دریافت مجوز تاسیس بورسها و کانونها و نهادهای مالی از سازمان بورس و اوراق بهادار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76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20"/>
              <w:framePr w:wrap="auto"/>
              <w:spacing w:before="100"/>
              <w:ind w:left="0" w:right="140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sz w:val="27"/>
                <w:szCs w:val="27"/>
                <w:lang w:val="fa-IR" w:eastAsia="fa-IR"/>
              </w:rPr>
              <w:t xml:space="preserve">۴ </w:t>
            </w:r>
          </w:p>
        </w:tc>
        <w:tc>
          <w:tcPr>
            <w:tcW w:w="5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line="35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شرکتهای مشمول اصل ۴۴ </w:t>
            </w:r>
          </w:p>
          <w:p>
            <w:pPr>
              <w:pStyle w:val="Bodytext10"/>
              <w:framePr w:wrap="auto"/>
              <w:spacing w:line="422" w:lineRule="auto"/>
              <w:ind w:firstLine="1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«کلیه تغییرات و تصمیمات شرکتهای دولتی مشمول واگذاری موضوع اصل ۴۴ قانون اساسی و تکالیف قوانین بودجه سنواتی می بایست از سازمان خصوصی سازی مجوزی دریافت نمایند 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line="31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: سازمان خصوصی سازی مادتين (۳) و (۱۸) قانون اجرایی سیاستهای 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after="12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  <w:p>
            <w:pPr>
              <w:pStyle w:val="Bodytext10"/>
              <w:framePr w:wrap="auto"/>
              <w:tabs>
                <w:tab w:val="left" w:pos="115"/>
              </w:tabs>
              <w:spacing w:after="6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سازمان خصوصی سازی مادتين (۳) و (۱۸) قانون اجرایی سیاستهای </w:t>
            </w:r>
          </w:p>
          <w:p>
            <w:pPr>
              <w:pStyle w:val="Bodytext10"/>
              <w:framePr w:wrap="auto"/>
              <w:spacing w:after="6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کل اصل ۴۴ قانون اساسی </w:t>
            </w:r>
          </w:p>
          <w:p>
            <w:pPr>
              <w:pStyle w:val="Bodytext10"/>
              <w:framePr w:wrap="auto"/>
              <w:tabs>
                <w:tab w:val="left" w:pos="115"/>
              </w:tabs>
              <w:spacing w:after="6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جزء «ب» بند (۴۰) قانون بودجه سال </w:t>
            </w:r>
          </w:p>
          <w:p>
            <w:pPr>
              <w:pStyle w:val="Bodytext10"/>
              <w:framePr w:wrap="auto"/>
              <w:spacing w:after="6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۱۳۹۰ کل کشور و بند ۲۴ قانون بودجه سال </w:t>
            </w:r>
          </w:p>
          <w:p>
            <w:pPr>
              <w:pStyle w:val="Bodytext10"/>
              <w:framePr w:wrap="auto"/>
              <w:spacing w:after="12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۱۳۹۱ </w:t>
            </w:r>
          </w:p>
          <w:p>
            <w:pPr>
              <w:pStyle w:val="Bodytext10"/>
              <w:framePr w:wrap="auto"/>
              <w:tabs>
                <w:tab w:val="left" w:pos="121"/>
              </w:tabs>
              <w:spacing w:after="6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اجرای جزء «ج» بند (۸) قانون بودجه سال </w:t>
            </w:r>
          </w:p>
          <w:p>
            <w:pPr>
              <w:pStyle w:val="Bodytext10"/>
              <w:framePr w:wrap="auto"/>
              <w:spacing w:after="6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۱۳۸۹ </w:t>
            </w:r>
          </w:p>
        </w:tc>
      </w:tr>
    </w:tbl>
    <w:p>
      <w:pPr>
        <w:sectPr>
          <w:headerReference w:type="even" r:id="rId42"/>
          <w:headerReference w:type="default" r:id="rId43"/>
          <w:footerReference w:type="even" r:id="rId44"/>
          <w:footerReference w:type="default" r:id="rId45"/>
          <w:headerReference w:type="first" r:id="rId46"/>
          <w:footerReference w:type="first" r:id="rId47"/>
          <w:pgSz w:w="11900" w:h="16840"/>
          <w:pgMar w:top="333" w:right="504" w:bottom="1324" w:left="331" w:header="0" w:footer="3" w:gutter="0"/>
          <w:pgNumType w:start="9"/>
          <w:cols w:space="720"/>
          <w:bidi/>
          <w:docGrid w:linePitch="360"/>
        </w:sectPr>
      </w:pP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 id="_x0000_s1043" type="#_x0000_t202" style="width:65.65pt;height:66.8pt;margin-top:39pt;margin-left:60.5pt;mso-position-horizontal-relative:margin;mso-wrap-distance-left:9pt;mso-wrap-distance-right:9pt;position:absolute;z-index:251672576" filled="f" stroked="f">
            <v:textbox inset="0,0,0,0">
              <w:txbxContent>
                <w:p>
                  <w:pPr>
                    <w:pStyle w:val="Bodytext20"/>
                    <w:spacing w:after="62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20"/>
                    <w:spacing w:after="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 side="right"/>
          </v:shape>
        </w:pict>
      </w: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15" w:name="bookmark0_5"/>
      <w:bookmarkEnd w:id="15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i1044" type="#_x0000_t75" style="width:60.95pt;height:47.05pt" o:allowincell="f">
            <v:imagedata r:id="rId4" o:title=""/>
          </v:shape>
        </w:pict>
      </w:r>
    </w:p>
    <w:p>
      <w:pPr>
        <w:pStyle w:val="Bodytext3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i w:val="0"/>
          <w:iCs w:val="0"/>
          <w:color w:val="000000"/>
          <w:lang w:val="fa-IR" w:eastAsia="fa-IR"/>
        </w:rPr>
        <w:t xml:space="preserve">قوه قضائیه </w:t>
      </w:r>
    </w:p>
    <w:p>
      <w:pPr>
        <w:pStyle w:val="Heading210"/>
        <w:keepNext/>
        <w:keepLines/>
        <w:framePr w:wrap="auto"/>
        <w:spacing w:after="0" w:line="446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سازمان ثبت اسناد و املاک کشور </w:t>
      </w:r>
    </w:p>
    <w:tbl>
      <w:tblPr>
        <w:tblStyle w:val="TableNormal"/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5207"/>
        <w:gridCol w:w="1832"/>
        <w:gridCol w:w="3289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49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20"/>
              <w:framePr w:wrap="auto"/>
              <w:spacing w:before="0"/>
              <w:ind w:left="0" w:right="0" w:firstLine="4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bookmarkStart w:id="16" w:name="bookmark2_4"/>
            <w:bookmarkEnd w:id="16"/>
            <w:r>
              <w:rPr>
                <w:rStyle w:val="Other2"/>
                <w:rFonts w:ascii="Microsoft Uighur" w:hAnsi="Microsoft Uighur" w:cs="Microsoft Uighur"/>
                <w:sz w:val="27"/>
                <w:szCs w:val="27"/>
                <w:lang w:val="fa-IR" w:eastAsia="fa-IR"/>
              </w:rPr>
              <w:t xml:space="preserve">۵ 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شرکت های تعاونی شامل : </w:t>
            </w: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: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65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line="458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کلیه شرکتهای تعاونی که با موضوع فعالیت مختلف تأسیس می شوند به موجب قانون فوق می بایست برای تأسیس و تغییرات خود از اداره تعاون شهرستان مربوطه مجوز اخذ نمایند </w:t>
            </w: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346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وزارت تعاون، کار و رفاه اجتماعی (اداره تعاون شهرستان مربوطه)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00" w:line="427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 - بند «۳» ماده (۳۲) و ماده (۵۳) قانون بخش تعاون جمهوری اسلامی ایران </w:t>
            </w:r>
          </w:p>
          <w:p>
            <w:pPr>
              <w:pStyle w:val="Bodytext10"/>
              <w:framePr w:wrap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۲- تبصره ماده ۳ آئین نامه اجرایی قانون بخش تعاونی اقتصاد جمهوری اسلامی ایران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1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20"/>
              <w:framePr w:wrap="auto"/>
              <w:spacing w:before="0"/>
              <w:ind w:left="0" w:right="0" w:firstLine="4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sz w:val="27"/>
                <w:szCs w:val="27"/>
                <w:lang w:val="fa-IR" w:eastAsia="fa-IR"/>
              </w:rPr>
              <w:t xml:space="preserve">۶ 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تعاونی فرش دستباف شامل </w:t>
            </w: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: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12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40" w:line="434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تولید انواع فرش دستباف تهیه و توزیع لوازم مورد نیاز اعضاء جهت تولید فرش برگزاری دوره های آموزشی در خصوص فرش باقی </w:t>
            </w: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00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وزارت جهاد کشاورزی اتحادیه تعاونی روستایی فرش دستباف )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40" w:line="379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ماده واحده مصوب ۱۳۷۳٫۱۱٫۲۳ مجلس شورای اسلامی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9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Other20"/>
              <w:framePr w:wrap="auto"/>
              <w:spacing w:before="0"/>
              <w:ind w:left="0" w:right="0" w:firstLine="42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"/>
                <w:rFonts w:ascii="Microsoft Uighur" w:hAnsi="Microsoft Uighur" w:cs="Microsoft Uighur"/>
                <w:sz w:val="27"/>
                <w:szCs w:val="27"/>
                <w:lang w:val="fa-IR" w:eastAsia="fa-IR"/>
              </w:rPr>
              <w:t xml:space="preserve">V 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فرهنگی و هنری و خبری شامل </w:t>
            </w: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194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372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اول انجام کلیه امور فعالیتهای فرهنگی و هنری و سینمایی و مطبوعاتی خبری و خبرگزاری و نشریه از جمله تبلیغات </w:t>
            </w:r>
          </w:p>
          <w:p>
            <w:pPr>
              <w:pStyle w:val="Bodytext10"/>
              <w:framePr w:wrap="auto"/>
              <w:spacing w:line="379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دوم ایجاد نمایندگی خبرگزاریها و رسانه های خارجی داخلی و انتشار نشریات عمومی و یا تخصصی </w:t>
            </w:r>
          </w:p>
          <w:p>
            <w:pPr>
              <w:pStyle w:val="Bodytext10"/>
              <w:framePr w:wrap="auto"/>
              <w:spacing w:line="401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سوم طراحی و برگزاری دوره های آموزشی کوتاه مدت مربوطه از جمله روزنامه نگاری و روابط عمومی و خبرنگاری </w:t>
            </w:r>
          </w:p>
          <w:p>
            <w:pPr>
              <w:pStyle w:val="Bodytext10"/>
              <w:framePr w:wrap="auto"/>
              <w:spacing w:line="384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چهارم تهیه و تنظیم ، مشاروه و اجرای برنامه های تبلیغاتی و روابط عمومی متعدد از طرف مدیر فرهنگی جلسه ۳۸۵ شورای عالی انقلاب از خبرنگاران و روزنامه نگاران </w:t>
            </w:r>
          </w:p>
          <w:p>
            <w:pPr>
              <w:pStyle w:val="Bodytext10"/>
              <w:framePr w:wrap="auto"/>
              <w:spacing w:line="384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پنجم - چاپ و نشر کتاب و لیتو گرافی و ترجمه متون و مقالات و کتب ششم طراحی و برگزاری دوره های آموزشی فرهنگی و هنری و سینمایی و مطبوعاتی از قبیل داستان نویسی چاپ و کتابداری و صحافی و هنرهای دستی و طراحی لباس و مد و خوشنویسی و کامپیوتر گرافیک (طراحی) و فیلمسازی ، عکاسی ، بازیگری </w:t>
            </w:r>
          </w:p>
          <w:p>
            <w:pPr>
              <w:pStyle w:val="Bodytext10"/>
              <w:framePr w:wrap="auto"/>
              <w:spacing w:line="384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هفتم برگزاری جشنواره های هنری و نمایشی و سینمایی و مطبوعاتی و ۱۳۹۰٫۹٫۱۹ ثبت خبرنگاری و روزنامه نگاری </w:t>
            </w:r>
          </w:p>
          <w:p>
            <w:pPr>
              <w:pStyle w:val="Bodytext10"/>
              <w:framePr w:wrap="auto"/>
              <w:spacing w:line="384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هشتم تهیه فیلم های سینمایی و تلویزیونی از جمله فیلم کوتاه و مستند و انیمیشن </w:t>
            </w:r>
          </w:p>
          <w:p>
            <w:pPr>
              <w:pStyle w:val="Bodytext10"/>
              <w:framePr w:wrap="auto"/>
              <w:spacing w:line="382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نهم تأسیس نمایشگاه و نگارخانه هنری و فرهنگی و مطبوعاتی و سینمایی دهم تشکیل مؤسسات فرهنگی در قالب فعالیتهای فرهنگی دیجیتال از جمله تصدی رسانه برخط و پدید آوردن ، تهیه کردن و عرضه بسته های نرم افزاری رسانه ای و بسته نرم افزاری رسانه پرداز </w:t>
            </w: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after="320" w:line="382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وزارت فرهنگ و ارشاد اسلامی اداره کل فرهنگ و ارشاد اسلامی استان مربوطه) </w:t>
            </w:r>
          </w:p>
          <w:p>
            <w:pPr>
              <w:pStyle w:val="Bodytext10"/>
              <w:framePr w:wrap="auto"/>
              <w:spacing w:line="413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نکته : در مکاتبات چهارم تهیه و تنظیم ، مشاروه و اجرای برنامه های تبلیغاتی و روابط عمومی متعدد از طرف مدیر فرهنگی جلسه ۳۸۵ شورای عالی انقلاب از و خبر گزاری داخلی وزارت فرهنگ و ارشاد بشماره ۹۱٫۳۳۲۱۶ مورخ ۹۱٫۱۱٫۲ و ۹۰٫۲۳۸۵۵ مورخ هفتم برگزاری جشنواره های هنری و نمایشی و سینمایی و مطبوعاتی و ۱۳۹۰٫۹٫۱۹ ثبت اشخاص حقوقی اعم از فرهنگی یا غیر فرهنگی با موضوع انتشار نشریه و فعالیت مطبوعاتی بدون مجوز امکان پذیر می باشد .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425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 بند «۱۵ الی ۲۲» ماده (۲) قانون اهداف و وظایف وزارت فرهنگ و ارشاد مصوب ۱۳۶۶ </w:t>
            </w:r>
          </w:p>
          <w:p>
            <w:pPr>
              <w:pStyle w:val="Bodytext10"/>
              <w:framePr w:wrap="auto"/>
              <w:spacing w:line="425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۲ ماده (۳) و تبصره یک ذیل ماده (۲۲) ضوابط و مقررات و آئین نامه اجرایی تأسیس مراکز ، مؤسسات انجمن های فرهنگی جلسه ۳۸۵ شورای عالی انقلاب از فرهنگی مصوب ۱۳۷۵٫۸٫۸ </w:t>
            </w:r>
          </w:p>
          <w:p>
            <w:pPr>
              <w:pStyle w:val="Bodytext10"/>
              <w:framePr w:wrap="auto"/>
              <w:spacing w:line="425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قانون تعطیل مؤسسات واحدهای آموزشی و تحقیقاتی و فرهنگی که بدون اخذ مجوز قانونی دایر شده مصوب ۱۳۷۲ و ماده (۶) آئین نامه اجرایی آن </w:t>
            </w:r>
          </w:p>
          <w:p>
            <w:pPr>
              <w:pStyle w:val="Bodytext10"/>
              <w:framePr w:wrap="auto"/>
              <w:spacing w:line="42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بندهای «ط» و «ط» آیین نامه ساماندهی و توسعه رسانه ها و فعالیت های دیجیتال موضوع تصویب نامه شماره ۱۷۲۴۱۲ است ۴۱۲۵۵ مورخ ۸۹٫۸٫۳ </w:t>
            </w:r>
          </w:p>
          <w:p>
            <w:pPr>
              <w:pStyle w:val="Bodytext10"/>
              <w:framePr w:wrap="auto"/>
              <w:spacing w:line="425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۵ قانون استفساریه از مؤسسات و واحدها و مراکز فرهنگی ۱۳۷۶ </w:t>
            </w:r>
          </w:p>
          <w:p>
            <w:pPr>
              <w:pStyle w:val="Bodytext10"/>
              <w:framePr w:wrap="auto"/>
              <w:spacing w:line="425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۶ تبصره ماده (۱) قانون ساماندهی مد ولباس مصوب ۱۳۸۵ و تبصره ماده (۱)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6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یازدهم تولید و تکثیر حامل دیجیتال و خدمات مرتبط به قصد انتفاع یا </w:t>
            </w: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آئین نامه اجرایی آن ۱۳۸۷ و ماده (۲)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5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386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برای عرضه توسط تکثیر کننده نشر دیجیتال - تصدی، توسعه و پشتیبانی مرکز بازی و سرگرمی دیجیتال ارائه هرگونه خدمات ویرایش مربوط به امور 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دستور العمل مربوطه </w:t>
            </w:r>
          </w:p>
        </w:tc>
      </w:tr>
    </w:tbl>
    <w:p>
      <w:pPr>
        <w:sectPr>
          <w:headerReference w:type="even" r:id="rId48"/>
          <w:headerReference w:type="default" r:id="rId49"/>
          <w:footerReference w:type="even" r:id="rId50"/>
          <w:footerReference w:type="default" r:id="rId51"/>
          <w:headerReference w:type="first" r:id="rId52"/>
          <w:footerReference w:type="first" r:id="rId53"/>
          <w:pgSz w:w="11900" w:h="16840"/>
          <w:pgMar w:top="333" w:right="504" w:bottom="964" w:left="331" w:header="0" w:footer="3" w:gutter="0"/>
          <w:pgNumType w:start="10"/>
          <w:cols w:space="720"/>
          <w:bidi/>
          <w:docGrid w:linePitch="360"/>
        </w:sectPr>
      </w:pP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 id="_x0000_s1045" type="#_x0000_t202" style="width:29.95pt;height:78.65pt;margin-top:38pt;margin-left:96.2pt;mso-position-horizontal-relative:margin;mso-wrap-distance-left:44.7pt;mso-wrap-distance-right:9pt;mso-wrap-style:none;position:absolute;z-index:251673600" filled="f" stroked="f">
            <v:textbox inset="0,0,0,0">
              <w:txbxContent>
                <w:p>
                  <w:pPr>
                    <w:pStyle w:val="Bodytext101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00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شماره: تاریخ : پیوست </w:t>
                  </w:r>
                </w:p>
              </w:txbxContent>
            </v:textbox>
            <w10:wrap type="square" side="right"/>
          </v:shape>
        </w:pict>
      </w: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 id="_x0000_s1046" type="#_x0000_t202" style="width:20.15pt;height:14.7pt;margin-top:89.25pt;margin-left:60.5pt;mso-position-horizontal-relative:margin;mso-wrap-distance-bottom:12.7pt;mso-wrap-distance-left:9pt;mso-wrap-distance-right:54.5pt;mso-wrap-distance-top:51.25pt;mso-wrap-style:none;position:absolute;z-index:251674624" filled="f" stroked="f">
            <v:textbox inset="0,0,0,0">
              <w:txbxContent>
                <w:p>
                  <w:pPr>
                    <w:pStyle w:val="Bodytext210"/>
                    <w:spacing w:after="0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1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ندارد </w:t>
                  </w:r>
                </w:p>
              </w:txbxContent>
            </v:textbox>
            <w10:wrap type="square" side="right"/>
          </v:shape>
        </w:pict>
      </w: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17" w:name="bookmark0_6"/>
      <w:bookmarkEnd w:id="17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i1047" type="#_x0000_t75" style="width:60.95pt;height:51.35pt" o:allowincell="f">
            <v:imagedata r:id="rId54" o:title=""/>
          </v:shape>
        </w:pict>
      </w:r>
    </w:p>
    <w:p>
      <w:pPr>
        <w:pStyle w:val="Heading210"/>
        <w:keepNext/>
        <w:keepLines/>
        <w:framePr w:wrap="auto"/>
        <w:spacing w:after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قوه قضائیه </w:t>
      </w:r>
      <w:bookmarkStart w:id="18" w:name="bookmark2_5"/>
      <w:bookmarkEnd w:id="18"/>
    </w:p>
    <w:p>
      <w:pPr>
        <w:pStyle w:val="Heading310"/>
        <w:keepNext/>
        <w:keepLines/>
        <w:framePr w:wrap="auto"/>
        <w:spacing w:after="180" w:line="240" w:lineRule="auto"/>
        <w:ind w:left="0" w:firstLine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سازمان ثبت اسناد و املاک کشور </w:t>
      </w:r>
    </w:p>
    <w:tbl>
      <w:tblPr>
        <w:tblStyle w:val="TableNormal"/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5207"/>
        <w:gridCol w:w="1832"/>
        <w:gridCol w:w="3289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75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  <w:bookmarkStart w:id="19" w:name="bookmark4_1"/>
            <w:bookmarkEnd w:id="19"/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after="6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فرهنگی </w:t>
            </w:r>
          </w:p>
          <w:p>
            <w:pPr>
              <w:pStyle w:val="Bodytext10"/>
              <w:framePr w:wrap="auto"/>
              <w:spacing w:line="406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دوازدهم طراحی مد لباس و برگزاری نمایشگاه های مد و لباس </w:t>
            </w:r>
          </w:p>
          <w:p>
            <w:pPr>
              <w:pStyle w:val="Bodytext10"/>
              <w:framePr w:wrap="auto"/>
              <w:spacing w:line="406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سیزدهم فعالیت قرآنی، انجمن های اسلامی و اعزام مبلغ و تبلیغات مذهبی و تشکلهای مذهبی آموزش عمومی و روخوانی و روانخوانی قرائت تحقیق و ترتیل ترجمه مفاهیم حفظ سیر معصومین (ع) احکام ادعیه زیارت مدیحه سرای اذان ابتهال همخوانی تواشیح برگزاری مسابقات قرآنی و عترت برگزاری جشنواره ها و نمایشگاههای قرآنی مدیحه سرایی و سخنرانی تبلیغی دینی </w:t>
            </w:r>
          </w:p>
          <w:p>
            <w:pPr>
              <w:pStyle w:val="Bodytext10"/>
              <w:framePr w:wrap="auto"/>
              <w:spacing w:line="422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چهاردهم تأسیس مراکز فرهنگی اقلیت دینی رسمی کشور در محدوده امور فرهنگی آن اقلیت </w:t>
            </w: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40" w:line="240" w:lineRule="auto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A 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قرآنی و مذهبی شامل 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20" w:line="382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: سازمان تبلیغات اسلامی ۱ و با وزارت فرهنگ و ارشاد اسلامی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75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406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-۱ ایجاد مؤسسات با فعالیت قرآنی و انجمن های اسلامی و اعزام مبلغ و تبلیغات مذهبی و تشکل های مذهبی </w:t>
            </w:r>
          </w:p>
          <w:p>
            <w:pPr>
              <w:pStyle w:val="Bodytext10"/>
              <w:framePr w:wrap="auto"/>
              <w:spacing w:line="406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-۲ برگزاری دوره های آموزشی روانخوانی قرآن (حضوری نیمه حضوری و غیر حضوری آموزش عمومی روخوانی و روانخوانی قرائت تحقیق و ترتیل ترجمه مفاهیم حفظ سیر معصومین (ع) احکام ادعیه زیارت مدیحه سرای اذان ابتهال همخوانی تواشیح برگزاری مسابقات قرآنی و عترت برگزاری جشنواره ها و نمایشگاههای قرآنی مدیحه سرایی و سخنرانی تبلیغی دینی انجام برنامه های تبلیغی و ترویجی قرآن کریم و انجام تحقیقت و پژوهشهای قرآنی ایجاد بانک نوار و نرم افزار و کتابخانه تصویری و صوتی با محوریت قرآن کریم برای بهره گیری افشار مختلف مردم، انجام فعالیت های قرآنی با بهره گیری از فن آوریهای صوتی و تصویری و الکترونیکی </w:t>
            </w:r>
          </w:p>
        </w:tc>
        <w:tc>
          <w:tcPr>
            <w:tcW w:w="1832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406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line="403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ماده (۳) قانون اهداف و وظایف وزارت فرهنگ و ارشاد اسلامی ۲- مواد (۱۰) و (۱۲) مصوبه شماره ۲۱۰۷۶ ات ۲۳۸۴۳ هـ مورخ ۸۲٫۴٫۳۱ هیات وزیران و تفاهم نامه شماره ۱٫۶۰۵۷۷ مورخ ۸۹٫۹٫۸ دو مرجع مذکور بخشنامه صادره سازمان ثبت ۱۹٫۱۸۵۱۳ مورخ ۸۹٫۱۰٫۱۸ </w:t>
            </w:r>
          </w:p>
          <w:p>
            <w:pPr>
              <w:pStyle w:val="Bodytext10"/>
              <w:framePr w:wrap="auto"/>
              <w:spacing w:line="403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۳ بند ۴ ماده ۶ اساسنامه تبلیغات اسلامی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08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201"/>
              <w:framePr w:wrap="auto"/>
              <w:spacing w:before="140"/>
              <w:ind w:left="0" w:right="140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200"/>
                <w:rFonts w:ascii="Courier New" w:hAnsi="Courier New" w:cs="Courier New"/>
                <w:sz w:val="19"/>
                <w:szCs w:val="19"/>
              </w:rPr>
              <w:t>۹</w:t>
            </w:r>
          </w:p>
        </w:tc>
        <w:tc>
          <w:tcPr>
            <w:tcW w:w="5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00" w:after="12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حج و زیارت شامل </w:t>
            </w:r>
          </w:p>
          <w:p>
            <w:pPr>
              <w:pStyle w:val="Bodytext10"/>
              <w:framePr w:wrap="auto"/>
              <w:spacing w:line="425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تصدی به امور زیارتی از جمله ثبت نام و تنظیم مسافرتهای سازمان حج و زیارت ۱ زیارتی و ذخیره مکان و هرگونه خدمات زیارتی </w:t>
            </w:r>
          </w:p>
          <w:p>
            <w:pPr>
              <w:pStyle w:val="Bodytext10"/>
              <w:framePr w:wrap="auto"/>
              <w:spacing w:line="425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ارائه خدمات زیارتی به زائران کشورهای اسلامی، برگزاری هر گونه تورهای زیارتی و سیاحتی و دینی 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line="41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: تصدی به امور زیارتی از جمله ثبت نام و تنظیم مسافرتهای سازمان حج و زیارت ۱ 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after="80" w:line="324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  <w:p>
            <w:pPr>
              <w:pStyle w:val="Bodytext10"/>
              <w:framePr w:wrap="auto"/>
              <w:spacing w:line="384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ماده (۲) قانون اهداف و وظایف وزارت فرهنگ و ارشاد اسلامی </w:t>
            </w:r>
          </w:p>
          <w:p>
            <w:pPr>
              <w:pStyle w:val="Bodytext10"/>
              <w:framePr w:wrap="auto"/>
              <w:spacing w:line="384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۲ ماده (۷) قانون توسعه صنعت ایرانگردی و </w:t>
            </w:r>
          </w:p>
          <w:p>
            <w:pPr>
              <w:pStyle w:val="Bodytext10"/>
              <w:framePr w:wrap="auto"/>
              <w:spacing w:line="384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جهانگردی مصوب ۷۰ با اصلاحات </w:t>
            </w:r>
          </w:p>
          <w:p>
            <w:pPr>
              <w:pStyle w:val="Bodytext10"/>
              <w:framePr w:wrap="auto"/>
              <w:spacing w:line="384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بند «ب» ماده (۱) آئین نامه نظارت بر تأسیس و فعالیت دفترهای خدمات مسافرتی و سیاحتی و جهانگردی و زیارتی مصوب ۱۳۸۰ </w:t>
            </w:r>
          </w:p>
          <w:p>
            <w:pPr>
              <w:pStyle w:val="Bodytext10"/>
              <w:framePr w:wrap="auto"/>
              <w:spacing w:line="384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تفکیک سازمان حج و زیارت از اوقاف و الحاق به وزارت فرهنگ و ارشاد اسلامی بر اساس مصوب </w:t>
            </w:r>
          </w:p>
          <w:p>
            <w:pPr>
              <w:pStyle w:val="Bodytext10"/>
              <w:framePr w:wrap="auto"/>
              <w:spacing w:after="40" w:line="384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سال ۱۳۷۰ شورای عالی اداری </w:t>
            </w:r>
          </w:p>
        </w:tc>
      </w:tr>
    </w:tbl>
    <w:p>
      <w:pPr>
        <w:sectPr>
          <w:headerReference w:type="even" r:id="rId55"/>
          <w:headerReference w:type="default" r:id="rId56"/>
          <w:footerReference w:type="even" r:id="rId57"/>
          <w:footerReference w:type="default" r:id="rId58"/>
          <w:headerReference w:type="first" r:id="rId59"/>
          <w:footerReference w:type="first" r:id="rId60"/>
          <w:pgSz w:w="11900" w:h="16840"/>
          <w:pgMar w:top="350" w:right="504" w:bottom="1329" w:left="331" w:header="0" w:footer="3" w:gutter="0"/>
          <w:pgNumType w:start="11"/>
          <w:cols w:space="720"/>
          <w:bidi/>
          <w:docGrid w:linePitch="360"/>
        </w:sectPr>
      </w:pP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 id="_x0000_s1048" type="#_x0000_t202" style="width:65.65pt;height:66.8pt;margin-top:36pt;margin-left:60.5pt;mso-position-horizontal-relative:margin;mso-wrap-distance-left:9pt;mso-wrap-distance-right:9pt;position:absolute;z-index:251675648" filled="f" stroked="f">
            <v:textbox inset="0,0,0,0">
              <w:txbxContent>
                <w:p>
                  <w:pPr>
                    <w:pStyle w:val="Bodytext110"/>
                    <w:spacing w:after="62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1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110"/>
                    <w:spacing w:after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1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 side="right"/>
          </v:shape>
        </w:pict>
      </w: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20" w:name="bookmark0_7"/>
      <w:bookmarkEnd w:id="20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i1049" type="#_x0000_t75" style="width:60.95pt;height:47.05pt" o:allowincell="f">
            <v:imagedata r:id="rId4" o:title=""/>
          </v:shape>
        </w:pict>
      </w:r>
    </w:p>
    <w:p>
      <w:pPr>
        <w:pStyle w:val="Bodytext30"/>
        <w:framePr w:wrap="auto"/>
        <w:spacing w:line="454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i w:val="0"/>
          <w:iCs w:val="0"/>
          <w:color w:val="000000"/>
          <w:lang w:val="fa-IR" w:eastAsia="fa-IR"/>
        </w:rPr>
        <w:t xml:space="preserve">قوه قضائیه </w:t>
      </w:r>
    </w:p>
    <w:p>
      <w:pPr>
        <w:pStyle w:val="Heading210"/>
        <w:keepNext/>
        <w:keepLines/>
        <w:framePr w:wrap="auto"/>
        <w:spacing w:after="0" w:line="454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سازمان ثبت اسناد و املاک کشور </w:t>
      </w:r>
    </w:p>
    <w:tbl>
      <w:tblPr>
        <w:tblStyle w:val="TableNormal"/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5207"/>
        <w:gridCol w:w="1832"/>
        <w:gridCol w:w="3289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55"/>
          <w:jc w:val="center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60" w:line="240" w:lineRule="auto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bookmarkStart w:id="21" w:name="bookmark2_6"/>
            <w:bookmarkEnd w:id="21"/>
            <w:r>
              <w:rPr>
                <w:rStyle w:val="Bodytext1"/>
                <w:rFonts w:ascii="Tahoma" w:hAnsi="Tahoma" w:cs="Tahoma"/>
                <w:sz w:val="20"/>
                <w:szCs w:val="20"/>
                <w:lang w:val="ar-SA" w:eastAsia="ar-SA"/>
              </w:rPr>
              <w:t>١٠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گردشگری و مسافرتی شامل 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20" w:line="348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: سازمان میراث فرهنگی و گردشگری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80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00" w:line="401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- تصدی به انجام خدمات مربوطه به ایرانگردی و جهانگردی از قبیل تنظیم مسافرت گروهی و گشتهای داخلی و خارجی و به طور کلی هرگونه فعالیت و خدمات ایرانگردی و جهانگردی و طرحهای گردشگری </w:t>
            </w:r>
          </w:p>
          <w:p>
            <w:pPr>
              <w:pStyle w:val="Bodytext10"/>
              <w:framePr w:wrap="auto"/>
              <w:spacing w:line="401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فعالیت به اخذ روادید و تنظیم انجام مسافرت گروهی داخلی و خارجی ذخیره مکان و هرگونه خدمات گردشگری </w:t>
            </w:r>
          </w:p>
          <w:p>
            <w:pPr>
              <w:pStyle w:val="Bodytext10"/>
              <w:framePr w:wrap="auto"/>
              <w:spacing w:line="401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دفاتر گردشگری، مراکز اقامتی مراکز پذیرایی و ایجاد موزه -- خرید و فروش و نگهداری و تبلیغ و ورود دستگاههای فلزیاب </w:t>
            </w:r>
          </w:p>
        </w:tc>
        <w:tc>
          <w:tcPr>
            <w:tcW w:w="1832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401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40" w:line="398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 ماده ۲ قانونی اهداف و وظایف وزارت فرهنگ و ارشاد اسلامی </w:t>
            </w:r>
          </w:p>
          <w:p>
            <w:pPr>
              <w:pStyle w:val="Bodytext10"/>
              <w:framePr w:wrap="auto"/>
              <w:spacing w:line="398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انتقال و انتزاع سازمان میراث فرهنگی </w:t>
            </w:r>
          </w:p>
          <w:p>
            <w:pPr>
              <w:pStyle w:val="Bodytext10"/>
              <w:framePr w:wrap="auto"/>
              <w:spacing w:line="398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و گردشگری از وزارت فرهنگ و ارشاد اسلامی </w:t>
            </w:r>
          </w:p>
          <w:p>
            <w:pPr>
              <w:pStyle w:val="Bodytext10"/>
              <w:framePr w:wrap="auto"/>
              <w:spacing w:after="10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مصوب سال ۱۳۸۳ </w:t>
            </w:r>
          </w:p>
          <w:p>
            <w:pPr>
              <w:pStyle w:val="Bodytext10"/>
              <w:framePr w:wrap="auto"/>
              <w:spacing w:line="42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۳ ماده (۷) قانون توسعه صنعت ایرانگردی و جهانگردی اصلاحی ۱۳۷۵ </w:t>
            </w:r>
          </w:p>
          <w:p>
            <w:pPr>
              <w:pStyle w:val="Bodytext10"/>
              <w:framePr w:wrap="auto"/>
              <w:spacing w:line="389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قانون ضرورت اخذ مجوز برای ساخت خرید و فروش و نگهداری و تبلیغ استفاده از فلزیاب مصوب ۱۳۷۹ و ماده (۲) آیین نامه اجرایی آن </w:t>
            </w:r>
          </w:p>
          <w:p>
            <w:pPr>
              <w:pStyle w:val="Bodytext10"/>
              <w:framePr w:wrap="auto"/>
              <w:spacing w:after="60" w:line="389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بند ب ماده ۱ آئین نامه نظارت بر فعالیت دفترهای خدمات مسافرتی، سیاحتی و جهانگردی و زیارتی مصوب ۱۳۸۰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1"/>
          <w:jc w:val="center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۱۱ 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علمی آموزشی و پژوهشی شامل 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after="640" w:line="418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: وزارت علوم تحقیقات و فناوری </w:t>
            </w:r>
          </w:p>
          <w:p>
            <w:pPr>
              <w:pStyle w:val="Bodytext10"/>
              <w:framePr w:wrap="auto"/>
              <w:spacing w:line="406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ایجاد یا توسعه هر گونه واحد آموزش عالی با مؤسسه تحقیقاتی تأسیس نکته : علیرغم تصريح ۲ ماده (۲) و (۸) آئین نامه تأسیس مؤسسات آموزشگاههای علمی آزاد و برگزاری دوره های تخصصی و کاربردی کوتاه قانون در مکاتبات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53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line="451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انجام تحقیقات علمی و فرهنگی در سطح ملی و بین المللی با همکاری محققان و متخصصان همکاری با نهادهای اجرایی علمی و پژوهشی در زمینه ارزیابی و بازنگری و اجرای طرحهای و برنامه های مربوط به امور تحقیقات و پژوهشی </w:t>
            </w:r>
          </w:p>
          <w:p>
            <w:pPr>
              <w:pStyle w:val="Bodytext10"/>
              <w:framePr w:wrap="auto"/>
              <w:spacing w:line="432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ایجاد یا توسعه هر گونه واحد آموزش عالی با مؤسسه تحقیقاتی تأسیس نکته : علیرغم تصريح ۲ ماده (۲) و (۸) آئین نامه تأسیس مؤسسات آموزشگاههای علمی آزاد و برگزاری دوره های تخصصی و کاربردی کوتاه قانون در مکاتبات مدت برای دوره های کارشناسی ناپیوسته و کارشناسی ارشد </w:t>
            </w:r>
          </w:p>
          <w:p>
            <w:pPr>
              <w:pStyle w:val="Bodytext10"/>
              <w:framePr w:wrap="auto"/>
              <w:spacing w:line="432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تأسیس دانشگاهها و مراکز تحقیقاتی دولتی و غیر دولتی </w:t>
            </w:r>
          </w:p>
          <w:p>
            <w:pPr>
              <w:pStyle w:val="Bodytext10"/>
              <w:framePr w:wrap="auto"/>
              <w:spacing w:line="418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تأسیس فدراسیون ملی ورزشهای دانشگاهی و تشکیل فدراسیون ملی و سردرگمی مواجه است. انقلاب فرهنگی سال ۱۳۸۰ ورزش های دانشگاهی برگزار دروههای آموزشی ورزشی برای دانشجویان بطوری که در برخی از برپایی مسابقات ورزشی و شرکت در مسابقات داخلی و خارجی وزرشی نامه ها و مکاتبات تصریح چهارم توسعه و شیوه نامه ایجاد شرکتهای دانشجویان عضو </w:t>
            </w:r>
          </w:p>
          <w:p>
            <w:pPr>
              <w:pStyle w:val="Bodytext10"/>
              <w:framePr w:wrap="auto"/>
              <w:spacing w:line="42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ارائه خدمات در زمینه فعالیتهای آموزش عالی و پژوهشی و فناوری و است و در برخی دیگر در امور دانشجویی </w:t>
            </w:r>
          </w:p>
          <w:p>
            <w:pPr>
              <w:pStyle w:val="Bodytext10"/>
              <w:framePr w:wrap="auto"/>
              <w:spacing w:line="473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مشاوره و ارائه کلیه خدمات مورد نیاز جهت اعزام دانشجو به خارج از آن مرجع ذکر شده است. کشور </w:t>
            </w:r>
          </w:p>
          <w:p>
            <w:pPr>
              <w:pStyle w:val="Bodytext10"/>
              <w:framePr w:wrap="auto"/>
              <w:spacing w:line="451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تأسیس مؤسسات فعالیتهای آموزشی از جمله دوره های آموزش عالی آزاد و دوره های تخصصی و کابردی کوتاه مدت کلاسهای کنکور برای دوره های کارشناسی با پیوسته و کارشناسی ارشد و دکتری تحت عنوان مؤسسه آموزش عالی آزاد </w:t>
            </w:r>
          </w:p>
        </w:tc>
        <w:tc>
          <w:tcPr>
            <w:tcW w:w="1832" w:type="dxa"/>
            <w:vMerge/>
            <w:tcBorders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451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328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40" w:line="401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 بندهای «۲» و «۸» و «۱۱» و «۱۵» جزء طلب» ماده (۲) و مواد (۵) ، (۶) و (۷) قانون اهداف و وظایف و تشکیلات وزارت علوم مصوب ۱۳۸۳ </w:t>
            </w:r>
          </w:p>
          <w:p>
            <w:pPr>
              <w:pStyle w:val="Bodytext10"/>
              <w:framePr w:wrap="auto"/>
              <w:spacing w:line="427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ایجاد یا توسعه هر گونه واحد آموزش عالی با مؤسسه تحقیقاتی تأسیس نکته : علیرغم تصريح ۲ ماده (۲) و (۸) آئین نامه تأسیس مؤسسات و شرکتهای خدمات اعزام دانشجو به خارج از کشور مصوب هیئت وزیران سال ۱۳۸۲ </w:t>
            </w:r>
          </w:p>
          <w:p>
            <w:pPr>
              <w:pStyle w:val="Bodytext10"/>
              <w:framePr w:wrap="auto"/>
              <w:spacing w:line="427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۳ ماده (۸) مصوبه جلسه ۴۸۳ شورای عالی تأسیس فدراسیون ملی ورزشهای دانشگاهی و تشکیل فدراسیون ملی و سردرگمی مواجه است. انقلاب فرهنگی سال ۱۳۸۰ </w:t>
            </w:r>
          </w:p>
          <w:p>
            <w:pPr>
              <w:pStyle w:val="Bodytext10"/>
              <w:framePr w:wrap="auto"/>
              <w:spacing w:line="427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بند «الف» ماده (۴۸) و (۵۱) قانون برنامه برپایی مسابقات ورزشی و شرکت در مسابقات داخلی و خارجی وزرشی نامه ها و مکاتبات تصریح چهارم توسعه و شیوه نامه ایجاد شرکتهای به لزوم اخذ مجوز نموده دانشگاهی ۵ ماده (۱۷) قانون برنامه پنجم توسعه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3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427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427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413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متعددی وزارت علوم در نحوه ارائه مجوز با تأسیس فدراسیون ملی ورزشهای دانشگاهی و تشکیل فدراسیون ملی و سردرگمی مواجه است. انقلاب فرهنگی سال ۱۳۸۰ </w:t>
            </w:r>
          </w:p>
        </w:tc>
        <w:tc>
          <w:tcPr>
            <w:tcW w:w="3289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413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96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413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413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42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ورزش های دانشگاهی برگزار دروههای آموزشی ورزشی برای دانشجویان بطوری که در برخی از برپایی مسابقات ورزشی و شرکت در مسابقات داخلی و خارجی وزرشی نامه ها و مکاتبات تصریح چهارم توسعه و شیوه نامه ایجاد شرکتهای به لزوم اخذ مجوز نموده دانشگاهی ۵ ماده (۱۷) قانون برنامه پنجم ارائه خدمات در زمینه فعالیتهای آموزش عالی و پژوهشی و فناوری و است و در برخی دیگر در </w:t>
            </w:r>
          </w:p>
        </w:tc>
        <w:tc>
          <w:tcPr>
            <w:tcW w:w="3289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42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3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42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42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خواست عدم استعلام از </w:t>
            </w:r>
          </w:p>
        </w:tc>
        <w:tc>
          <w:tcPr>
            <w:tcW w:w="3289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3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مشاوره و ارائه کلیه خدمات مورد نیاز جهت اعزام دانشجو به خارج از آن مرجع ذکر شده است. </w:t>
            </w:r>
          </w:p>
        </w:tc>
        <w:tc>
          <w:tcPr>
            <w:tcW w:w="3289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10"/>
          <w:jc w:val="center"/>
        </w:trPr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vMerge/>
            <w:tcBorders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3289" w:type="dxa"/>
            <w:vMerge/>
            <w:tcBorders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</w:tr>
    </w:tbl>
    <w:p>
      <w:pPr>
        <w:sectPr>
          <w:headerReference w:type="even" r:id="rId61"/>
          <w:headerReference w:type="default" r:id="rId62"/>
          <w:footerReference w:type="even" r:id="rId63"/>
          <w:footerReference w:type="default" r:id="rId64"/>
          <w:headerReference w:type="first" r:id="rId65"/>
          <w:footerReference w:type="first" r:id="rId66"/>
          <w:pgSz w:w="11900" w:h="16840"/>
          <w:pgMar w:top="385" w:right="504" w:bottom="1324" w:left="331" w:header="0" w:footer="3" w:gutter="0"/>
          <w:pgNumType w:start="12"/>
          <w:cols w:space="720"/>
          <w:bidi/>
          <w:docGrid w:linePitch="360"/>
        </w:sectPr>
      </w:pPr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i1050" type="#_x0000_t75" style="width:22.1pt;height:19.7pt" o:allowincell="f">
            <v:imagedata r:id="rId67" o:title=""/>
          </v:shape>
        </w:pict>
      </w:r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i1051" type="#_x0000_t75" style="width:207.35pt;height:62.9pt" o:allowincell="f">
            <v:imagedata r:id="rId68" o:title=""/>
          </v:shape>
        </w:pict>
      </w:r>
    </w:p>
    <w:p>
      <w:pPr>
        <w:pStyle w:val="Heading110"/>
        <w:keepNext/>
        <w:keepLines/>
        <w:framePr w:wrap="auto"/>
        <w:spacing w:after="180"/>
        <w:ind w:right="436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</w:p>
    <w:tbl>
      <w:tblPr>
        <w:tblStyle w:val="TableNormal"/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5207"/>
        <w:gridCol w:w="1832"/>
        <w:gridCol w:w="3289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0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line="240" w:lineRule="auto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bookmarkStart w:id="22" w:name="bookmark0_8"/>
            <w:bookmarkEnd w:id="22"/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۱۲ 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40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ارائه خدمات حمل نقل جاده ای کالا و مسافر بین شهری با خارج از کشور بین المللی حمل کالا به روشهای زمینی هوایی ریلی ، دریایی یا ترکیبی از آنها و جابجایی کالا از کشوری به کشور دیگر (ترانزیت کالا) </w:t>
            </w: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40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. وزرات راه و شهرسازی سازمان حمل و نقل و پایانه های کشور)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after="12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  <w:p>
            <w:pPr>
              <w:pStyle w:val="Bodytext10"/>
              <w:framePr w:wrap="auto"/>
              <w:spacing w:line="353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ماده (۲) و (۳) آئین نامه حمل بار و مسافر و مدت لغو و پروانه فعالیت و تعطیلی مؤسسات حمل و نقل جاده </w:t>
            </w:r>
          </w:p>
          <w:p>
            <w:pPr>
              <w:pStyle w:val="Bodytext10"/>
              <w:framePr w:wrap="auto"/>
              <w:spacing w:line="307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۲ بند «۱۳» ماده (۷) قانون تغییر نام وزارت راه به وزارت راه و ترابری مصوب ۱۳۵۳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۱۳ 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آزاد فنی و حرفه ای شامل 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346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: سازمان فنی و حرفه ای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90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line="401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تأسیس آموزشگاه آزاد فنی و حرفه ای در قالب دوره های فراگیری مهارت حرفه در رشته های معین بر اساس استاندارها و مهارت های آموزشی مشاغل شامل دوره های آموزشی تایپ ، حسابداری ، کامپیوتر سخت افزار) و ..... </w:t>
            </w:r>
          </w:p>
        </w:tc>
        <w:tc>
          <w:tcPr>
            <w:tcW w:w="1832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line="401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346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۱- مواد (۸) و (۵) مصوبه جلسه ۴۸۳ مورخ </w:t>
            </w:r>
          </w:p>
          <w:p>
            <w:pPr>
              <w:pStyle w:val="Bodytext10"/>
              <w:framePr w:wrap="auto"/>
              <w:spacing w:line="346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۸۰٫۵٫۳۳ شورای عالی انقلاب فرهنگی </w:t>
            </w:r>
          </w:p>
          <w:p>
            <w:pPr>
              <w:pStyle w:val="Bodytext10"/>
              <w:framePr w:wrap="auto"/>
              <w:spacing w:line="346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۲- تبصره یک ماده (۱۱۱) قانون کار جمهوری اسلامی ایران مصوب ۶۹٫۸٫۲۹ مجمع تشخیص مصلحت نظام </w:t>
            </w:r>
          </w:p>
          <w:p>
            <w:pPr>
              <w:pStyle w:val="Bodytext10"/>
              <w:framePr w:wrap="auto"/>
              <w:spacing w:line="346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۳ ماده (۲) و (۳) آیین نامه نحوه تشکیل و اداره آموزشگاههای فنی و حرفه ای و مؤسسات کارآموزی آزاد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3"/>
          <w:jc w:val="center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۱۴ 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علوم اسلامی و حوزه شامل : 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شورای گسترش حوزه های علمیه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24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Bodytext10"/>
              <w:framePr w:wrap="auto"/>
              <w:spacing w:line="394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ایجاد مراکز آموزشی علوم اسلامی و حوزه های علمیه توسعه و پژوهش در حوزه های علوم اسلامی و دینی در تمام رشته ها و مقاطع تحصیلی متناسب با رسالتها و اهداف ، سیاستها و برنامه های بلند مدت و کوتاه مدت برای طلاب و فضلا </w:t>
            </w:r>
          </w:p>
        </w:tc>
        <w:tc>
          <w:tcPr>
            <w:tcW w:w="1832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394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Bodytext10"/>
              <w:framePr w:wrap="auto"/>
              <w:spacing w:after="40" w:line="374" w:lineRule="auto"/>
              <w:ind w:right="440" w:hanging="4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مواد ۱۴ و ۱۶ و ۲۹ اساسنامه شورای عالی حوزه های علمیه مصوب ۱۳۷۴ به تایید مراجع عظام و مقام معظم رهبری رسیده است. </w:t>
            </w:r>
          </w:p>
          <w:p>
            <w:pPr>
              <w:pStyle w:val="Bodytext10"/>
              <w:framePr w:wrap="auto"/>
              <w:spacing w:line="377" w:lineRule="auto"/>
              <w:ind w:right="440" w:hanging="4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۲ ماده (۳) اساسنامه شورای گسترش حوزه های علمیه مصوب ۱۳۸۲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6"/>
          <w:jc w:val="center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۱۵ 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مربوط به سازمان بهزیستی : 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سازمان بهزیستی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54"/>
          <w:jc w:val="center"/>
        </w:trPr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324" w:lineRule="auto"/>
              <w:ind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تأسیس مهدهای کودک </w:t>
            </w:r>
          </w:p>
          <w:p>
            <w:pPr>
              <w:pStyle w:val="Bodytext10"/>
              <w:framePr w:wrap="auto"/>
              <w:spacing w:line="324" w:lineRule="auto"/>
              <w:ind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تأسیس مراکز نگهداری شبانه روزی کودکان بی سرپرست و خیابانی </w:t>
            </w:r>
          </w:p>
          <w:p>
            <w:pPr>
              <w:pStyle w:val="Bodytext10"/>
              <w:framePr w:wrap="auto"/>
              <w:spacing w:line="324" w:lineRule="auto"/>
              <w:ind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تأسیس خانه سلامت دختران و زنان </w:t>
            </w:r>
          </w:p>
          <w:p>
            <w:pPr>
              <w:pStyle w:val="Bodytext10"/>
              <w:framePr w:wrap="auto"/>
              <w:spacing w:line="324" w:lineRule="auto"/>
              <w:ind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تأسیس مجتمع ها و مراکز خدمات بهزیستی </w:t>
            </w:r>
          </w:p>
          <w:p>
            <w:pPr>
              <w:pStyle w:val="Bodytext10"/>
              <w:framePr w:wrap="auto"/>
              <w:spacing w:line="324" w:lineRule="auto"/>
              <w:ind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ه تأسیس کلینیک و اورژانسهای مددکاری و اجتماعی </w:t>
            </w:r>
          </w:p>
          <w:p>
            <w:pPr>
              <w:pStyle w:val="Bodytext10"/>
              <w:framePr w:wrap="auto"/>
              <w:spacing w:line="324" w:lineRule="auto"/>
              <w:ind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تأسیس مراکز خدمات مشاوره ای اجتماعی </w:t>
            </w:r>
          </w:p>
          <w:p>
            <w:pPr>
              <w:pStyle w:val="Bodytext10"/>
              <w:framePr w:wrap="auto"/>
              <w:spacing w:line="324" w:lineRule="auto"/>
              <w:ind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تأسیس مراکز توانبخشی معلولین </w:t>
            </w:r>
          </w:p>
          <w:p>
            <w:pPr>
              <w:pStyle w:val="Bodytext10"/>
              <w:framePr w:wrap="auto"/>
              <w:spacing w:line="324" w:lineRule="auto"/>
              <w:ind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تأسیس مراکز حرفه آموزی معلولین </w:t>
            </w:r>
          </w:p>
          <w:p>
            <w:pPr>
              <w:pStyle w:val="Bodytext10"/>
              <w:framePr w:wrap="auto"/>
              <w:spacing w:line="324" w:lineRule="auto"/>
              <w:ind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تأسیس مراکز توانبخشی و نگهداری سالمندان </w:t>
            </w:r>
          </w:p>
          <w:p>
            <w:pPr>
              <w:pStyle w:val="Bodytext10"/>
              <w:framePr w:wrap="auto"/>
              <w:spacing w:line="324" w:lineRule="auto"/>
              <w:ind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۱۰ تأسیس مراکز توانبخشی و درمانی بیماران روانی مزمن </w:t>
            </w:r>
          </w:p>
          <w:p>
            <w:pPr>
              <w:pStyle w:val="Bodytext10"/>
              <w:framePr w:wrap="auto"/>
              <w:spacing w:line="324" w:lineRule="auto"/>
              <w:ind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۱۱ تأسیس مراکز خدمات مشاوره ژنتیک </w:t>
            </w:r>
          </w:p>
          <w:p>
            <w:pPr>
              <w:pStyle w:val="Bodytext10"/>
              <w:framePr w:wrap="auto"/>
              <w:spacing w:line="324" w:lineRule="auto"/>
              <w:ind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۱۳ تأسیس مراکز درمانی و بازتوانی معتادین </w:t>
            </w:r>
          </w:p>
          <w:p>
            <w:pPr>
              <w:pStyle w:val="Bodytext10"/>
              <w:framePr w:wrap="auto"/>
              <w:spacing w:line="324" w:lineRule="auto"/>
              <w:ind w:right="360" w:firstLine="2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۱۳ تأسیس انجمن ها و موسسات غیر دولتی و غیره که در راستای اهداف سازمان بهزیستی کشور فعالیت می نمایند. </w:t>
            </w:r>
          </w:p>
        </w:tc>
        <w:tc>
          <w:tcPr>
            <w:tcW w:w="1832" w:type="dxa"/>
            <w:vMerge/>
            <w:tcBorders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324" w:lineRule="auto"/>
              <w:ind w:right="360" w:firstLine="2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00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مواد ۵ و ۱۰ آئین نامه موضوع ماده ۲۶ قانون تنظیم بخشی از مقررات مالی دولت مصوب ۱۳۸۷ </w:t>
            </w:r>
          </w:p>
        </w:tc>
      </w:tr>
    </w:tbl>
    <w:p>
      <w:pPr>
        <w:sectPr>
          <w:headerReference w:type="even" r:id="rId69"/>
          <w:headerReference w:type="default" r:id="rId70"/>
          <w:footerReference w:type="even" r:id="rId71"/>
          <w:footerReference w:type="default" r:id="rId72"/>
          <w:headerReference w:type="first" r:id="rId73"/>
          <w:footerReference w:type="first" r:id="rId74"/>
          <w:pgSz w:w="11900" w:h="16840"/>
          <w:pgMar w:top="391" w:right="504" w:bottom="1324" w:left="331" w:header="0" w:footer="3" w:gutter="0"/>
          <w:pgNumType w:start="13"/>
          <w:cols w:space="720"/>
          <w:bidi/>
          <w:docGrid w:linePitch="360"/>
        </w:sectPr>
      </w:pP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 id="_x0000_s1052" type="#_x0000_t202" style="width:65.65pt;height:66.8pt;margin-top:39pt;margin-left:60.5pt;mso-position-horizontal-relative:margin;mso-wrap-distance-left:9pt;mso-wrap-distance-right:9pt;position:absolute;z-index:251676672" filled="f" stroked="f">
            <v:textbox inset="0,0,0,0">
              <w:txbxContent>
                <w:p>
                  <w:pPr>
                    <w:pStyle w:val="Bodytext301"/>
                    <w:spacing w:after="62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00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301"/>
                    <w:spacing w:after="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00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 side="right"/>
          </v:shape>
        </w:pict>
      </w: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23" w:name="bookmark0_9"/>
      <w:bookmarkEnd w:id="23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i1053" type="#_x0000_t75" style="width:60.95pt;height:47.05pt" o:allowincell="f">
            <v:imagedata r:id="rId4" o:title=""/>
          </v:shape>
        </w:pict>
      </w:r>
    </w:p>
    <w:p>
      <w:pPr>
        <w:pStyle w:val="Bodytext3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i w:val="0"/>
          <w:iCs w:val="0"/>
          <w:color w:val="000000"/>
          <w:lang w:val="fa-IR" w:eastAsia="fa-IR"/>
        </w:rPr>
        <w:t xml:space="preserve">قوه قضائیه </w:t>
      </w:r>
    </w:p>
    <w:p>
      <w:pPr>
        <w:pStyle w:val="Heading210"/>
        <w:keepNext/>
        <w:keepLines/>
        <w:framePr w:wrap="auto"/>
        <w:spacing w:after="0" w:line="446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سازمان ثبت اسناد و املاک کشور </w:t>
      </w:r>
    </w:p>
    <w:tbl>
      <w:tblPr>
        <w:tblStyle w:val="TableNormal"/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5207"/>
        <w:gridCol w:w="1832"/>
        <w:gridCol w:w="3289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38"/>
          <w:jc w:val="center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20" w:line="240" w:lineRule="auto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bookmarkStart w:id="24" w:name="bookmark2_7"/>
            <w:bookmarkEnd w:id="24"/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۱۶ 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مردم نهاد و احزاب ها شامل : </w:t>
            </w: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49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353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فرهنگ سازی و ترویج به مشارکت در امور خیریه ، هرگونه کمک و مساعدت در ارتقای سطح زندگی و شغلی، فرهنگی آموزشی و سلامت افراد مستمند و بی بضاعت و معلول و خانواده های بی سرپرست، ایتام و کودکان و دانش آموزان مستمند امور مربوط به نیکوکاری و امور خیریه – کمک جهت تسهیل در امور ازدواج زوجهای محروم ، نگهداری و مراقبت از فرزندان بی سرپرست به صورت شبانه روزی جمع آوری کمک های نقدی و غیر نقدی خیرین و سازمان و اوراق به آنها تأسیس مراکز و نگهداری و مراقبت از سالمندان به صورت شبانه روزی </w:t>
            </w:r>
          </w:p>
          <w:p>
            <w:pPr>
              <w:pStyle w:val="Bodytext10"/>
              <w:framePr w:wrap="auto"/>
              <w:spacing w:line="353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نکته بر طبق مواد ۱ و ۲ و ۸ قانون و فعالیت احزاب : حزب، جمعیت . 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وزارت کشور اداره کل سازمانهای مردم نهاد 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line="324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- مواد (۲) و (۳) و (۲۵) آیین نامه اجرایی تاسیس و فعالیت مؤسسات مردم نهاد مصوب هیئت وزیران به شماره ۲۷۸۶۲ ات ۳۱۲۸۱ مورخ ۸۴٫۵٫۸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8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line="324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انجمن و اتحادیه صنفی و امثال آن توسط وزارت کشور ثبت می شود . لذا </w:t>
            </w:r>
          </w:p>
        </w:tc>
        <w:tc>
          <w:tcPr>
            <w:tcW w:w="1832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3289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6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ثبت اشخاص حقوقی مذکور وزارت کشور می باشد. </w:t>
            </w:r>
          </w:p>
        </w:tc>
        <w:tc>
          <w:tcPr>
            <w:tcW w:w="1832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3289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6"/>
          <w:jc w:val="center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00" w:line="240" w:lineRule="auto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۱۷ 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حفاظتی و مراقبتی شامل 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00" w:line="276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: نیروی انتظامی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75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۱- ارائه خدمات انتظامی حفاظتی و مراقبتی از جمله حفاظت از اماکن و تأسیسات خصوصی و دولتی از قبیل محلات ، مجتمع های مسکونی ، تجاری، صنعتی ، شعب غیر مادربانکهای خصوصی و مؤسسات مالی و اعتباری و صندوق قرض الحسنه اماکن تفریحی و فرهنگی و آموزشی و ورزشی و درمانی . حفاظت از شعب غیر مادر بانکهای دولتی توزیع و نصب سامانه حفاظتی و مراقبی الکترونیکی حمل و نقل پول و اوراق بهادار (صرفا در قالب موسسه ) </w:t>
            </w:r>
          </w:p>
          <w:p>
            <w:pPr>
              <w:pStyle w:val="Bodytext10"/>
              <w:framePr w:wrap="auto"/>
              <w:spacing w:line="410" w:lineRule="auto"/>
              <w:ind w:right="440" w:hanging="44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ایجاد موسسات غیر انتفاعی از مجتمع های مسکونی و تجاری و اداری </w:t>
            </w:r>
          </w:p>
          <w:p>
            <w:pPr>
              <w:pStyle w:val="Bodytext10"/>
              <w:framePr w:wrap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-- مراقبت از گردشگران، طراحی و مشاوره در زمینه طرحهای حفاظتی، تولید و واردات و صادرات افلام تجهیزات و سامانه های حفاظتی و مراقبتی و الکترونیکی صرفا در قالب موسسه ) </w:t>
            </w:r>
          </w:p>
        </w:tc>
        <w:tc>
          <w:tcPr>
            <w:tcW w:w="1832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338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۱- مواد (۵۸۴) و (۵۸۵) قانون تجارت بندهای «الف» و «ه» مادتين (۲) و (۶) ایین نامه اصلاحی تشکیلات و مؤسسات غیر تجاری اصلاحی ۱۳۳۷ </w:t>
            </w:r>
          </w:p>
          <w:p>
            <w:pPr>
              <w:pStyle w:val="Bodytext10"/>
              <w:framePr w:wrap="auto"/>
              <w:spacing w:line="336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ماده (۱۳۲) قانون چهارم توسعه اقتصادی اجتماعی و فرهنگی و آیین نامه اجرایی ماده مذکور مصوب ۱۳۸۸ ستاد کل نیروهای مسلح و بخشنامه صادره از سوی سازمان ثبت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2"/>
          <w:jc w:val="center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line="240" w:lineRule="auto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۱۸ 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شرکتهای وابسته به شهرداری شامل: 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346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: شورای اسلامی شهر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56"/>
          <w:jc w:val="center"/>
        </w:trPr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به موجب قانون کلیه شرکتهای وابسته به شهرداری ها برای ثبت تأسیس و تغییرات اساسنامه می بایست از شورای اسلامی شهر مربوطه مجوز دریافت نمایند </w:t>
            </w:r>
          </w:p>
          <w:p>
            <w:pPr>
              <w:pStyle w:val="Bodytext10"/>
              <w:framePr w:wrap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چنانچه مجوز از شهرداری اعلام گردد باید مصوبه یا تایید شورای شهر نیز به پیوست ارائه با اعلام گردد. </w:t>
            </w:r>
          </w:p>
        </w:tc>
        <w:tc>
          <w:tcPr>
            <w:tcW w:w="1832" w:type="dxa"/>
            <w:vMerge/>
            <w:tcBorders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336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بند «۳» و «۱۵» ماده (۷۶) قانون تشکیلات وظایف و انتخابات شورای اسلامی کشور مصوب ۱۳۷۵٫۳٫۱ </w:t>
            </w:r>
          </w:p>
        </w:tc>
      </w:tr>
    </w:tbl>
    <w:p>
      <w:pPr>
        <w:sectPr>
          <w:headerReference w:type="even" r:id="rId75"/>
          <w:headerReference w:type="default" r:id="rId76"/>
          <w:footerReference w:type="even" r:id="rId77"/>
          <w:footerReference w:type="default" r:id="rId78"/>
          <w:headerReference w:type="first" r:id="rId79"/>
          <w:footerReference w:type="first" r:id="rId80"/>
          <w:pgSz w:w="11900" w:h="16840"/>
          <w:pgMar w:top="333" w:right="504" w:bottom="1324" w:left="331" w:header="0" w:footer="3" w:gutter="0"/>
          <w:pgNumType w:start="14"/>
          <w:cols w:space="720"/>
          <w:bidi/>
          <w:docGrid w:linePitch="360"/>
        </w:sect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s1054" type="#_x0000_t75" style="width:60.5pt;height:84pt;margin-top:0;margin-left:248.55pt;mso-position-horizontal-relative:margin;mso-position-vertical-relative:margin;mso-wrap-distance-bottom:34.25pt;mso-wrap-distance-left:197.05pt;mso-wrap-distance-right:34.9pt;position:absolute;z-index:-251638784">
            <v:imagedata r:id="rId81" o:title=""/>
            <w10:wrap type="topAndBottom"/>
          </v:shape>
        </w:pict>
      </w:r>
      <w:r>
        <w:rPr>
          <w:color w:val="auto"/>
          <w:spacing w:val="0"/>
          <w:w w:val="100"/>
          <w:position w:val="0"/>
        </w:rPr>
        <w:pict>
          <v:shape id="_x0000_s1055" type="#_x0000_t202" style="width:111.45pt;height:31.7pt;margin-top:84.65pt;margin-left:223.5pt;mso-position-horizontal-relative:margin;mso-position-vertical-relative:margin;mso-wrap-distance-bottom:2pt;mso-wrap-distance-left:172pt;mso-wrap-distance-right:9pt;mso-wrap-distance-top:84.65pt;mso-wrap-style:none;position:absolute;z-index:251678720" filled="f" stroked="f">
            <v:textbox inset="0,0,0,0">
              <w:txbxContent>
                <w:p>
                  <w:pPr>
                    <w:pStyle w:val="Bodytext2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سازمان ثبت اسناد و املاک کشور </w:t>
                  </w:r>
                </w:p>
              </w:txbxContent>
            </v:textbox>
            <w10:wrap type="topAndBottom"/>
          </v:shape>
        </w:pict>
      </w:r>
      <w:r>
        <w:rPr>
          <w:color w:val="auto"/>
          <w:spacing w:val="0"/>
          <w:w w:val="100"/>
          <w:position w:val="0"/>
        </w:rPr>
        <w:pict>
          <v:shape id="_x0000_s1056" type="#_x0000_t202" style="width:65.65pt;height:66.8pt;margin-top:35.4pt;margin-left:60.5pt;mso-position-horizontal-relative:margin;mso-position-vertical-relative:margin;mso-wrap-distance-bottom:16.15pt;mso-wrap-distance-left:9pt;mso-wrap-distance-right:217.8pt;mso-wrap-distance-top:35.4pt;position:absolute;z-index:251679744" filled="f" stroked="f">
            <v:textbox inset="0,0,0,0">
              <w:txbxContent>
                <w:p>
                  <w:pPr>
                    <w:pStyle w:val="Bodytext20"/>
                    <w:spacing w:after="62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20"/>
                    <w:spacing w:after="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topAndBottom"/>
          </v:shape>
        </w:pict>
      </w:r>
    </w:p>
    <w:tbl>
      <w:tblPr>
        <w:tblStyle w:val="TableNormal"/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5207"/>
        <w:gridCol w:w="1832"/>
        <w:gridCol w:w="3289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8"/>
          <w:jc w:val="center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20" w:line="240" w:lineRule="auto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۱۹ </w:t>
            </w:r>
          </w:p>
        </w:tc>
        <w:tc>
          <w:tcPr>
            <w:tcW w:w="520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00" w:line="319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پیشخوان دولت الکترونیک شامل : </w:t>
            </w:r>
          </w:p>
          <w:p>
            <w:pPr>
              <w:pStyle w:val="Bodytext10"/>
              <w:framePr w:wrap="auto"/>
              <w:spacing w:line="346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ارائه خدمات پیشخوان دولت الکترونیک از قبیل ایجاد و بهره برداری و انجام کلیه خدمات مرتبط و قابل ارائه در دفاتر پیشخوان دولت و بخش عمومی غیر دولتی 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Bodytext10"/>
              <w:framePr w:wrap="auto"/>
              <w:spacing w:line="324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: سازمان تنظیم ارتباطات و مقررات رادیویی و کارگروه استانی دفاتر پیشخوان دولت الکترونیک در استانداری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22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1832" w:type="dxa"/>
            <w:vMerge/>
            <w:tcBorders>
              <w:right w:val="single" w:sz="4" w:space="0" w:color="auto"/>
            </w:tcBorders>
            <w:vAlign w:val="center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after="40" w:line="331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ا قانون توسعه حمل و نقل عمومی و مدیریت مصرف سوخت مصوب ۱۳۸۶ </w:t>
            </w:r>
          </w:p>
          <w:p>
            <w:pPr>
              <w:pStyle w:val="Bodytext10"/>
              <w:framePr w:wrap="auto"/>
              <w:spacing w:line="319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آیین نامه ایجاد و بهره برداری از دفاتر پیشخوان دولت و بخش عمومی غیر دولتی مصوب ۱۳۸۸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3"/>
          <w:jc w:val="center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۲۰ 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سلاح و اسلحه شامل 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343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: وزارت دفاع و پشتیبانی نیروهای مسلح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68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line="331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عنوان تولید مواد ناریه سلاح و مهمات شکاری و ورزشی و اقلام دفاع شخصی و حمل و نقل و نگهداری و ارائه آتش کاری مواد تاریه و انجام فعالیتهای خدماتی مرتبط با آنها . </w:t>
            </w:r>
          </w:p>
        </w:tc>
        <w:tc>
          <w:tcPr>
            <w:tcW w:w="1832" w:type="dxa"/>
            <w:vMerge/>
            <w:tcBorders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line="331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341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 بندهای «۷» و «۸» ماده (۲) دستور العمل اجرایی مواد ناریه مصوب ۸۲٫۶٫۴ شورای امنیت ملی کشور </w:t>
            </w:r>
          </w:p>
          <w:p>
            <w:pPr>
              <w:pStyle w:val="Bodytext10"/>
              <w:framePr w:wrap="auto"/>
              <w:spacing w:line="341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نامه فرماندهی کل قوا ستاد کل نیروی های مسلح ۴۰۰۸۹ مورخ ۸۴٫۴٫۲۷ و نامه ۴۱۴۴۹۵ مورخ ۸۸٫۱۲٫۳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61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۲۱ 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Bodytext10"/>
              <w:framePr w:wrap="auto"/>
              <w:spacing w:line="305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مترجمی استاد شامل </w:t>
            </w:r>
          </w:p>
          <w:p>
            <w:pPr>
              <w:pStyle w:val="Bodytext10"/>
              <w:framePr w:wrap="auto"/>
              <w:spacing w:line="331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مترجمی اسناد و مدارک ترجمه اظهارات و استاد در محاکم و دفاتر اسناد رسمی </w:t>
            </w: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Bodytext10"/>
              <w:framePr w:wrap="auto"/>
              <w:spacing w:line="312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: ارائه پروانه مترجمی رسمی قوه قضاییه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Bodytext10"/>
              <w:framePr w:wrap="auto"/>
              <w:spacing w:after="14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</w:t>
            </w:r>
          </w:p>
          <w:p>
            <w:pPr>
              <w:pStyle w:val="Bodytext10"/>
              <w:framePr w:wrap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ماده ۳۳ آیین نامه اجرایی اصلاح ماده ۳ راجع به ترجمه اظهارات و استاد در محاکم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41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۲۲ </w:t>
            </w:r>
          </w:p>
        </w:tc>
        <w:tc>
          <w:tcPr>
            <w:tcW w:w="5207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348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هواپیمایی </w:t>
            </w:r>
          </w:p>
          <w:p>
            <w:pPr>
              <w:pStyle w:val="Bodytext10"/>
              <w:framePr w:wrap="auto"/>
              <w:spacing w:line="348" w:lineRule="auto"/>
              <w:ind w:firstLine="1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 حمل و نقل هوایی خدمات دفاتر مسافرت هوایی از قبیل فروش بلیط خدمات مسافرتی و رزرو و ذخیره مکان و هرگونه خدمات در خصوص خدمات ترابری هوایی و صدور بارنامه هوایی </w:t>
            </w:r>
          </w:p>
        </w:tc>
        <w:tc>
          <w:tcPr>
            <w:tcW w:w="1832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line="336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سازمان هواپیمایی کشوری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after="16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  <w:p>
            <w:pPr>
              <w:pStyle w:val="Bodytext10"/>
              <w:framePr w:wrap="auto"/>
              <w:spacing w:after="40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 ماده (۱۵) قانون هواپیمایی کشوری -۲- آیین نامه نظارت بر تأسیس و فعالیت دفتر خدمات مسافری سیاحتی و </w:t>
            </w:r>
          </w:p>
          <w:p>
            <w:pPr>
              <w:pStyle w:val="Bodytext10"/>
              <w:framePr w:wrap="auto"/>
              <w:spacing w:after="100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جهانگردی و زیارتی مصوب ۱۳۸۰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6"/>
          <w:jc w:val="center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40" w:line="240" w:lineRule="auto"/>
              <w:ind w:firstLine="14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۲۳ </w:t>
            </w:r>
          </w:p>
        </w:tc>
        <w:tc>
          <w:tcPr>
            <w:tcW w:w="520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120" w:after="8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موضوع فعالیت : </w:t>
            </w:r>
          </w:p>
          <w:p>
            <w:pPr>
              <w:pStyle w:val="Bodytext10"/>
              <w:framePr w:wrap="auto"/>
              <w:spacing w:line="374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-۱ ارائه خدمات حسابرسی از جمله حسابرسی و بازرس قانونی شرکتها ارزیابی سهام و سهم الشرکه و داوری مالی و مشاوره مدیریت مالی و طراحی و پیداسازی سیستم های مالی </w:t>
            </w:r>
          </w:p>
          <w:p>
            <w:pPr>
              <w:pStyle w:val="Bodytext10"/>
              <w:framePr w:wrap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-۲ خدمات مالی و حسابداری مالی و مالیاتی و نظارت بر تصفیه 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before="80" w:line="382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مرجع صدور مجوز جامعه حسابدارن رسمی ایران </w:t>
            </w:r>
          </w:p>
        </w:tc>
        <w:tc>
          <w:tcPr>
            <w:tcW w:w="328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مستندات :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70"/>
          <w:jc w:val="center"/>
        </w:trPr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5207" w:type="dxa"/>
            <w:vMerge/>
            <w:tcBorders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1832" w:type="dxa"/>
            <w:vMerge/>
            <w:tcBorders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Bodytext10"/>
              <w:framePr w:wrap="auto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Bodytext10"/>
              <w:framePr w:wrap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۱ قانون استفاده از خدمات تخصصی و حرفه ای حسابداران دیصلاح به عنوان حسابدار رسمی مصوب ۱۳۷۲٫۱۰٫۲۱ </w:t>
            </w:r>
          </w:p>
          <w:p>
            <w:pPr>
              <w:pStyle w:val="Bodytext10"/>
              <w:framePr w:wrap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Bodytext1"/>
                <w:rFonts w:ascii="Microsoft Uighur" w:hAnsi="Microsoft Uighur" w:cs="Microsoft Uighur"/>
                <w:b/>
                <w:bCs/>
                <w:lang w:val="fa-IR" w:eastAsia="fa-IR"/>
              </w:rPr>
              <w:t xml:space="preserve">مواد (۲۴) و (۲۵) اساسنامه جامعه حسابداران مصوب هیات وزیران مصوب ۱۳۷۸٫۶٫۲۸ </w:t>
            </w:r>
          </w:p>
        </w:tc>
      </w:tr>
    </w:tbl>
    <w:p>
      <w:pPr>
        <w:sectPr>
          <w:headerReference w:type="even" r:id="rId82"/>
          <w:headerReference w:type="default" r:id="rId83"/>
          <w:footerReference w:type="even" r:id="rId84"/>
          <w:footerReference w:type="default" r:id="rId85"/>
          <w:headerReference w:type="first" r:id="rId86"/>
          <w:footerReference w:type="first" r:id="rId87"/>
          <w:pgSz w:w="11900" w:h="16840"/>
          <w:pgMar w:top="396" w:right="504" w:bottom="1323" w:left="331" w:header="0" w:footer="3" w:gutter="0"/>
          <w:pgNumType w:start="15"/>
          <w:cols w:space="720"/>
          <w:bidi/>
          <w:docGrid w:linePitch="360"/>
        </w:sect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s1057" type="#_x0000_t202" style="width:29.95pt;height:78.6pt;margin-top:36.6pt;margin-left:-127.3pt;mso-position-horizontal-relative:margin;mso-wrap-distance-left:9pt;mso-wrap-distance-right:9pt;mso-wrap-style:none;position:absolute;z-index:251680768" filled="f" stroked="f">
            <v:textbox inset="0,0,0,0">
              <w:txbxContent>
                <w:p>
                  <w:pPr>
                    <w:pStyle w:val="Bodytext301"/>
                    <w:spacing w:after="0" w:line="319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00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شماره: تاریخ : پیوست </w:t>
                  </w:r>
                </w:p>
              </w:txbxContent>
            </v:textbox>
            <w10:wrap type="square"/>
          </v:shape>
        </w:pict>
      </w:r>
      <w:r>
        <w:rPr>
          <w:color w:val="auto"/>
          <w:spacing w:val="0"/>
          <w:w w:val="100"/>
          <w:position w:val="0"/>
        </w:rPr>
        <w:pict>
          <v:shape id="_x0000_s1058" type="#_x0000_t202" style="width:19.85pt;height:14.7pt;margin-top:88.4pt;margin-left:-162.45pt;mso-position-horizontal-relative:margin;mso-wrap-distance-left:9pt;mso-wrap-distance-right:9pt;mso-wrap-style:none;position:absolute;z-index:251681792" filled="f" stroked="f">
            <v:textbox inset="0,0,0,0">
              <w:txbxContent>
                <w:p>
                  <w:pPr>
                    <w:pStyle w:val="Bodytext10"/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ندارد </w:t>
                  </w:r>
                </w:p>
              </w:txbxContent>
            </v:textbox>
            <w10:wrap type="square"/>
          </v:shape>
        </w:pict>
      </w:r>
    </w:p>
    <w:p>
      <w:pPr>
        <w:pStyle w:val="Bodytext301"/>
        <w:framePr w:wrap="auto"/>
        <w:spacing w:after="0" w:line="262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sectPr>
          <w:pgSz w:w="11900" w:h="16840"/>
          <w:pgMar w:top="327" w:right="4870" w:bottom="945" w:left="4801" w:header="0" w:footer="517" w:gutter="0"/>
          <w:pgNumType w:start="16"/>
          <w:cols w:space="720"/>
          <w:bidi/>
          <w:docGrid w:linePitch="360"/>
        </w:sectPr>
      </w:pPr>
      <w:r>
        <w:rPr>
          <w:rStyle w:val="Bodytext300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قوه قضائیه قوه قضائیه سازمان ثبت اسناد و املاک کشور </w:t>
      </w: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89" w:after="89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327" w:right="0" w:bottom="327" w:left="0" w:header="0" w:footer="3" w:gutter="0"/>
          <w:cols w:space="720"/>
          <w:bidi w:val="0"/>
          <w:docGrid w:linePitch="360"/>
        </w:sectPr>
      </w:pPr>
    </w:p>
    <w:p>
      <w:pPr>
        <w:pStyle w:val="Headerorfooter101"/>
        <w:framePr w:w="236" w:h="248" w:hRule="atLeast" w:wrap="none" w:vAnchor="text" w:hAnchor="margin" w:x="1" w:y="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erorfooter100"/>
        </w:rPr>
        <w:t>١٥</w:t>
      </w:r>
    </w:p>
    <w:p>
      <w:pPr>
        <w:framePr w:wrap="auto"/>
        <w:bidi w:val="0"/>
        <w:spacing w:before="0" w:after="247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sectPr>
      <w:headerReference w:type="even" r:id="rId88"/>
      <w:headerReference w:type="default" r:id="rId89"/>
      <w:footerReference w:type="even" r:id="rId90"/>
      <w:footerReference w:type="default" r:id="rId91"/>
      <w:headerReference w:type="first" r:id="rId92"/>
      <w:footerReference w:type="first" r:id="rId93"/>
      <w:type w:val="continuous"/>
      <w:pgSz w:w="11900" w:h="16840"/>
      <w:pgMar w:top="327" w:right="4870" w:bottom="327" w:left="1454" w:header="0" w:footer="3" w:gutter="0"/>
      <w:cols w:space="72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Tahoma">
    <w:charset w:val="B2"/>
    <w:family w:val="swiss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Courier New">
    <w:charset w:val="B2"/>
    <w:family w:val="modern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width:6.65pt;height:6.6pt;margin-top:775.8pt;margin-left:72.15pt;mso-position-horizontal-relative:page;mso-position-vertical-relative:page;mso-wrap-distance-left:0;mso-wrap-distance-right:0;mso-wrap-style:none;position:absolute;z-index:-251656192" filled="f" stroked="f">
          <v:textbox style="mso-fit-shape-to-text:t" inset="0,0,0,0">
            <w:txbxContent>
              <w:p>
                <w:pPr>
                  <w:bidi w:val="0"/>
                  <w:spacing w:before="0" w:after="0" w:line="240" w:lineRule="auto"/>
                  <w:ind w:left="0" w:right="0" w:firstLine="0"/>
                  <w:jc w:val="left"/>
                  <w:rPr>
                    <w:color w:val="auto"/>
                    <w:spacing w:val="0"/>
                    <w:w w:val="100"/>
                    <w:position w:val="0"/>
                  </w:rPr>
                </w:pPr>
              </w:p>
            </w:txbxContent>
          </v:textbox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3.15pt;height:6.35pt;margin-top:775.8pt;margin-left:73.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rFonts w:ascii="Arial" w:hAnsi="Arial" w:cs="Arial"/>
                    <w:sz w:val="22"/>
                    <w:szCs w:val="22"/>
                  </w:rPr>
                  <w:t>۲</w:t>
                </w:r>
              </w:p>
            </w:txbxContent>
          </v:textbox>
        </v:shape>
      </w:pic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width:4.3pt;height:6.35pt;margin-top:775.8pt;margin-left:73.3pt;mso-position-horizontal-relative:page;mso-position-vertical-relative:page;mso-wrap-distance-left:0;mso-wrap-distance-right:0;mso-wrap-style:none;position:absolute;z-index:-251655168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۸</w:t>
                </w:r>
              </w:p>
            </w:txbxContent>
          </v:textbox>
        </v:shape>
      </w:pict>
    </w: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width:3.15pt;height:5.75pt;margin-top:775.8pt;margin-left:73.85pt;mso-position-horizontal-relative:page;mso-position-vertical-relative:page;mso-wrap-distance-left:0;mso-wrap-distance-right:0;mso-wrap-style:none;position:absolute;z-index:-251654144" filled="f" stroked="f">
          <v:textbox style="mso-fit-shape-to-text:t" inset="0,0,0,0">
            <w:txbxContent>
              <w:p>
                <w:pPr>
                  <w:pStyle w:val="Headerorfooter201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00"/>
                    <w:sz w:val="20"/>
                    <w:szCs w:val="20"/>
                  </w:rPr>
                  <w:t>٩</w:t>
                </w:r>
              </w:p>
            </w:txbxContent>
          </v:textbox>
        </v:shape>
      </w:pict>
    </w: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width:8.05pt;height:6.35pt;margin-top:775.55pt;margin-left:74.15pt;mso-position-horizontal-relative:page;mso-position-vertical-relative:page;mso-wrap-distance-left:0;mso-wrap-distance-right:0;mso-wrap-style:none;position:absolute;z-index:-251653120" filled="f" stroked="f">
          <v:textbox style="mso-fit-shape-to-text:t" inset="0,0,0,0">
            <w:txbxContent>
              <w:p>
                <w:pPr>
                  <w:pStyle w:val="Headerorfooter101"/>
                  <w:bidi w:val="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100"/>
                    <w:rFonts w:ascii="Courier New" w:hAnsi="Courier New" w:cs="Courier New"/>
                    <w:sz w:val="26"/>
                    <w:szCs w:val="26"/>
                  </w:rPr>
                  <w:t>١٠</w:t>
                </w:r>
              </w:p>
            </w:txbxContent>
          </v:textbox>
        </v:shape>
      </w:pict>
    </w: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width:7.2pt;height:6.35pt;margin-top:775.8pt;margin-left:74.45pt;mso-position-horizontal-relative:page;mso-position-vertical-relative:page;mso-wrap-distance-left:0;mso-wrap-distance-right:0;mso-wrap-style:none;position:absolute;z-index:-251652096" filled="f" stroked="f">
          <v:textbox style="mso-fit-shape-to-text:t" inset="0,0,0,0">
            <w:txbxContent>
              <w:p>
                <w:pPr>
                  <w:pStyle w:val="Headerorfooter210"/>
                  <w:bidi w:val="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1"/>
                    <w:rFonts w:ascii="Tahoma" w:hAnsi="Tahoma" w:cs="Tahoma"/>
                    <w:sz w:val="15"/>
                    <w:szCs w:val="15"/>
                  </w:rPr>
                  <w:t>۱۱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width:8.05pt;height:6.35pt;margin-top:775.8pt;margin-left:74.45pt;mso-position-horizontal-relative:page;mso-position-vertical-relative:page;mso-wrap-distance-left:0;mso-wrap-distance-right:0;mso-wrap-style:none;position:absolute;z-index:-251651072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  <w:sz w:val="20"/>
                    <w:szCs w:val="20"/>
                  </w:rPr>
                  <w:t>۱۲</w:t>
                </w:r>
              </w:p>
            </w:txbxContent>
          </v:textbox>
        </v:shape>
      </w:pict>
    </w: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width:8.95pt;height:6.35pt;margin-top:775.8pt;margin-left:74.45pt;mso-position-horizontal-relative:page;mso-position-vertical-relative:page;mso-wrap-distance-left:0;mso-wrap-distance-right:0;mso-wrap-style:none;position:absolute;z-index:-251650048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۱۳</w:t>
                </w:r>
              </w:p>
            </w:txbxContent>
          </v:textbox>
        </v:shape>
      </w:pict>
    </w: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width:8.05pt;height:6.05pt;margin-top:775.8pt;margin-left:74.45pt;mso-position-horizontal-relative:page;mso-position-vertical-relative:page;mso-wrap-distance-left:0;mso-wrap-distance-right:0;mso-wrap-style:none;position:absolute;z-index:-251649024" filled="f" stroked="f">
          <v:textbox style="mso-fit-shape-to-text:t" inset="0,0,0,0">
            <w:txbxContent>
              <w:p>
                <w:pPr>
                  <w:pStyle w:val="Headerorfooter201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00"/>
                    <w:sz w:val="18"/>
                    <w:szCs w:val="18"/>
                  </w:rPr>
                  <w:t>١٤</w:t>
                </w:r>
              </w:p>
            </w:txbxContent>
          </v:textbox>
        </v:shape>
      </w:pict>
    </w:r>
  </w:p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4.3pt;height:6.35pt;margin-top:775.8pt;margin-left:73.3pt;mso-position-horizontal-relative:page;mso-position-vertical-relative:page;mso-wrap-distance-left:0;mso-wrap-distance-right:0;mso-wrap-style:none;position:absolute;z-index:-251657216" filled="f" stroked="f">
          <v:textbox style="mso-fit-shape-to-text:t" inset="0,0,0,0">
            <w:txbxContent>
              <w:p>
                <w:pPr>
                  <w:pStyle w:val="Headerorfooter1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1"/>
                  </w:rPr>
                  <w:t>۳</w:t>
                </w:r>
              </w:p>
            </w:txbxContent>
          </v:textbox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75937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75937"/>
      <w:spacing w:val="0"/>
      <w:w w:val="100"/>
      <w:position w:val="0"/>
      <w:sz w:val="44"/>
      <w:szCs w:val="44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Tahoma" w:hAnsi="Tahoma" w:cs="Tahoma"/>
      <w:b/>
      <w:bCs/>
      <w:i/>
      <w:iCs/>
      <w:smallCaps w:val="0"/>
      <w:strike w:val="0"/>
      <w:color w:val="375937"/>
      <w:spacing w:val="0"/>
      <w:w w:val="100"/>
      <w:position w:val="0"/>
      <w:sz w:val="22"/>
      <w:szCs w:val="22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Heading31">
    <w:name w:val="Heading #3|1_"/>
    <w:basedOn w:val="DefaultParagraphFont"/>
    <w:link w:val="Heading3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460" w:line="343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375937"/>
      <w:spacing w:val="0"/>
      <w:w w:val="100"/>
      <w:position w:val="0"/>
      <w:sz w:val="28"/>
      <w:szCs w:val="28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0" w:line="240" w:lineRule="auto"/>
      <w:ind w:left="0" w:right="0" w:firstLine="0"/>
      <w:jc w:val="center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75937"/>
      <w:spacing w:val="0"/>
      <w:w w:val="100"/>
      <w:position w:val="0"/>
      <w:sz w:val="44"/>
      <w:szCs w:val="44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0" w:line="446" w:lineRule="auto"/>
      <w:ind w:left="0" w:right="0" w:firstLine="0"/>
      <w:jc w:val="center"/>
    </w:pPr>
    <w:rPr>
      <w:rFonts w:ascii="Tahoma" w:hAnsi="Tahoma" w:cs="Tahoma"/>
      <w:b/>
      <w:bCs/>
      <w:i/>
      <w:iCs/>
      <w:smallCaps w:val="0"/>
      <w:strike w:val="0"/>
      <w:color w:val="375937"/>
      <w:spacing w:val="0"/>
      <w:w w:val="100"/>
      <w:position w:val="0"/>
      <w:sz w:val="22"/>
      <w:szCs w:val="22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620" w:line="240" w:lineRule="auto"/>
      <w:ind w:left="0" w:right="0" w:firstLine="0"/>
      <w:jc w:val="center"/>
      <w:outlineLvl w:val="1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360" w:lineRule="auto"/>
      <w:ind w:left="0" w:right="0" w:firstLine="38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310">
    <w:name w:val="Heading #3|1"/>
    <w:basedOn w:val="Normal"/>
    <w:link w:val="Heading31"/>
    <w:uiPriority w:val="99"/>
    <w:pPr>
      <w:bidi/>
      <w:spacing w:before="0" w:after="0" w:line="360" w:lineRule="auto"/>
      <w:ind w:left="720" w:right="0" w:hanging="340"/>
      <w:jc w:val="left"/>
      <w:outlineLvl w:val="2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Bodytext300">
    <w:name w:val="Body text|3__0"/>
    <w:basedOn w:val="DefaultParagraphFont"/>
    <w:link w:val="Bodytext301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30"/>
      <w:szCs w:val="30"/>
      <w:u w:val="none"/>
      <w:lang w:bidi="ar-SA"/>
    </w:rPr>
  </w:style>
  <w:style w:type="paragraph" w:customStyle="1" w:styleId="Bodytext301">
    <w:name w:val="Body text|3_0"/>
    <w:basedOn w:val="Normal"/>
    <w:link w:val="Bodytext300"/>
    <w:uiPriority w:val="99"/>
    <w:pPr>
      <w:bidi/>
      <w:spacing w:before="0" w:after="9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30"/>
      <w:szCs w:val="30"/>
      <w:u w:val="none"/>
    </w:rPr>
  </w:style>
  <w:style w:type="character" w:customStyle="1" w:styleId="Bodytext200">
    <w:name w:val="Body text|2__0"/>
    <w:basedOn w:val="DefaultParagraphFont"/>
    <w:link w:val="Bodytext201"/>
    <w:uiPriority w:val="99"/>
    <w:rPr>
      <w:rFonts w:ascii="Tahoma" w:hAnsi="Tahoma" w:cs="Tahoma"/>
      <w:b w:val="0"/>
      <w:bCs w:val="0"/>
      <w:i/>
      <w:iCs/>
      <w:smallCaps w:val="0"/>
      <w:strike w:val="0"/>
      <w:color w:val="355835"/>
      <w:spacing w:val="0"/>
      <w:w w:val="100"/>
      <w:position w:val="0"/>
      <w:sz w:val="30"/>
      <w:szCs w:val="30"/>
      <w:u w:val="none"/>
      <w:lang w:bidi="ar-SA"/>
    </w:rPr>
  </w:style>
  <w:style w:type="paragraph" w:customStyle="1" w:styleId="Bodytext201">
    <w:name w:val="Body text|2_0"/>
    <w:basedOn w:val="Normal"/>
    <w:link w:val="Bodytext200"/>
    <w:uiPriority w:val="99"/>
    <w:pPr>
      <w:bidi/>
      <w:spacing w:before="0" w:after="240" w:line="240" w:lineRule="auto"/>
      <w:ind w:left="0" w:right="0" w:firstLine="0"/>
      <w:jc w:val="center"/>
    </w:pPr>
    <w:rPr>
      <w:rFonts w:ascii="Tahoma" w:hAnsi="Tahoma" w:cs="Tahoma"/>
      <w:b w:val="0"/>
      <w:bCs w:val="0"/>
      <w:i/>
      <w:iCs/>
      <w:smallCaps w:val="0"/>
      <w:strike w:val="0"/>
      <w:color w:val="355835"/>
      <w:spacing w:val="0"/>
      <w:w w:val="100"/>
      <w:position w:val="0"/>
      <w:sz w:val="30"/>
      <w:szCs w:val="30"/>
      <w:u w:val="none"/>
    </w:rPr>
  </w:style>
  <w:style w:type="character" w:customStyle="1" w:styleId="Headerorfooter1">
    <w:name w:val="Header or footer|1_"/>
    <w:basedOn w:val="DefaultParagraphFont"/>
    <w:link w:val="Headerorfooter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/>
    </w:rPr>
  </w:style>
  <w:style w:type="paragraph" w:customStyle="1" w:styleId="Headerorfooter10">
    <w:name w:val="Header or footer|1"/>
    <w:basedOn w:val="Normal"/>
    <w:link w:val="Headerorfooter1"/>
    <w:uiPriority w:val="99"/>
    <w:pPr>
      <w:bidi w:val="0"/>
      <w:spacing w:before="0" w:after="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  <w:lang w:val="en-US" w:eastAsia="en-US"/>
    </w:rPr>
  </w:style>
  <w:style w:type="character" w:customStyle="1" w:styleId="Picturecaption1">
    <w:name w:val="Picture caption|1_"/>
    <w:basedOn w:val="DefaultParagraphFont"/>
    <w:link w:val="Picturecaption10"/>
    <w:uiPriority w:val="99"/>
    <w:rPr>
      <w:rFonts w:ascii="Arial" w:hAnsi="Arial" w:cs="Arial"/>
      <w:b/>
      <w:bCs/>
      <w:i w:val="0"/>
      <w:iCs w:val="0"/>
      <w:smallCaps w:val="0"/>
      <w:strike w:val="0"/>
      <w:color w:val="355936"/>
      <w:spacing w:val="0"/>
      <w:w w:val="100"/>
      <w:position w:val="0"/>
      <w:sz w:val="22"/>
      <w:szCs w:val="22"/>
      <w:u w:val="none"/>
      <w:lang w:bidi="ar-SA"/>
    </w:rPr>
  </w:style>
  <w:style w:type="paragraph" w:customStyle="1" w:styleId="Picturecaption10">
    <w:name w:val="Picture caption|1"/>
    <w:basedOn w:val="Normal"/>
    <w:link w:val="Picturecaption1"/>
    <w:uiPriority w:val="99"/>
    <w:pPr>
      <w:bidi/>
      <w:spacing w:before="0" w:after="0" w:line="240" w:lineRule="auto"/>
      <w:ind w:left="0" w:right="-10" w:firstLine="390"/>
      <w:jc w:val="center"/>
    </w:pPr>
    <w:rPr>
      <w:rFonts w:ascii="Arial" w:hAnsi="Arial" w:cs="Arial"/>
      <w:b/>
      <w:bCs/>
      <w:i w:val="0"/>
      <w:iCs w:val="0"/>
      <w:smallCaps w:val="0"/>
      <w:strike w:val="0"/>
      <w:color w:val="355936"/>
      <w:spacing w:val="0"/>
      <w:w w:val="100"/>
      <w:position w:val="0"/>
      <w:sz w:val="22"/>
      <w:szCs w:val="22"/>
      <w:u w:val="none"/>
    </w:rPr>
  </w:style>
  <w:style w:type="character" w:customStyle="1" w:styleId="Bodytext4">
    <w:name w:val="Body text|4_"/>
    <w:basedOn w:val="DefaultParagraphFont"/>
    <w:link w:val="Bodytext4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40"/>
      <w:szCs w:val="40"/>
      <w:u w:val="none"/>
      <w:lang w:bidi="ar-SA"/>
    </w:rPr>
  </w:style>
  <w:style w:type="paragraph" w:customStyle="1" w:styleId="Bodytext40">
    <w:name w:val="Body text|4"/>
    <w:basedOn w:val="Normal"/>
    <w:link w:val="Bodytext4"/>
    <w:uiPriority w:val="99"/>
    <w:pPr>
      <w:bidi/>
      <w:spacing w:before="0" w:after="0" w:line="226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40"/>
      <w:szCs w:val="40"/>
      <w:u w:val="none"/>
    </w:rPr>
  </w:style>
  <w:style w:type="character" w:customStyle="1" w:styleId="Bodytext400">
    <w:name w:val="Body text|4__0"/>
    <w:basedOn w:val="DefaultParagraphFont"/>
    <w:link w:val="Bodytext401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ar-SA"/>
    </w:rPr>
  </w:style>
  <w:style w:type="paragraph" w:customStyle="1" w:styleId="Bodytext401">
    <w:name w:val="Body text|4_0"/>
    <w:basedOn w:val="Normal"/>
    <w:link w:val="Bodytext400"/>
    <w:uiPriority w:val="99"/>
    <w:pPr>
      <w:bidi w:val="0"/>
      <w:spacing w:before="0" w:after="120" w:line="240" w:lineRule="auto"/>
      <w:ind w:left="0" w:right="0" w:firstLine="0"/>
      <w:jc w:val="righ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character" w:customStyle="1" w:styleId="Bodytext31">
    <w:name w:val="Body text|3__1"/>
    <w:basedOn w:val="DefaultParagraphFont"/>
    <w:link w:val="Bodytext3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55836"/>
      <w:spacing w:val="0"/>
      <w:w w:val="100"/>
      <w:position w:val="0"/>
      <w:sz w:val="34"/>
      <w:szCs w:val="34"/>
      <w:u w:val="none"/>
      <w:lang w:bidi="ar-SA"/>
    </w:rPr>
  </w:style>
  <w:style w:type="paragraph" w:customStyle="1" w:styleId="Bodytext310">
    <w:name w:val="Body text|3_1"/>
    <w:basedOn w:val="Normal"/>
    <w:link w:val="Bodytext31"/>
    <w:uiPriority w:val="99"/>
    <w:pPr>
      <w:bidi/>
      <w:spacing w:before="0" w:after="10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355836"/>
      <w:spacing w:val="0"/>
      <w:w w:val="100"/>
      <w:position w:val="0"/>
      <w:sz w:val="34"/>
      <w:szCs w:val="34"/>
      <w:u w:val="none"/>
    </w:rPr>
  </w:style>
  <w:style w:type="character" w:customStyle="1" w:styleId="Bodytext21">
    <w:name w:val="Body text|2__1"/>
    <w:basedOn w:val="DefaultParagraphFont"/>
    <w:link w:val="Bodytext210"/>
    <w:uiPriority w:val="99"/>
    <w:rPr>
      <w:rFonts w:ascii="Courier New" w:hAnsi="Courier New" w:cs="Courier New"/>
      <w:b w:val="0"/>
      <w:bCs w:val="0"/>
      <w:i w:val="0"/>
      <w:iCs w:val="0"/>
      <w:smallCaps w:val="0"/>
      <w:strike w:val="0"/>
      <w:color w:val="355836"/>
      <w:spacing w:val="0"/>
      <w:w w:val="100"/>
      <w:position w:val="0"/>
      <w:sz w:val="22"/>
      <w:szCs w:val="22"/>
      <w:u w:val="none"/>
      <w:lang w:bidi="ar-SA"/>
    </w:rPr>
  </w:style>
  <w:style w:type="paragraph" w:customStyle="1" w:styleId="Bodytext210">
    <w:name w:val="Body text|2_1"/>
    <w:basedOn w:val="Normal"/>
    <w:link w:val="Bodytext21"/>
    <w:uiPriority w:val="99"/>
    <w:pPr>
      <w:bidi/>
      <w:spacing w:before="0" w:after="160" w:line="240" w:lineRule="auto"/>
      <w:ind w:left="0" w:right="0" w:firstLine="0"/>
      <w:jc w:val="left"/>
    </w:pPr>
    <w:rPr>
      <w:rFonts w:ascii="Courier New" w:hAnsi="Courier New" w:cs="Courier New"/>
      <w:b w:val="0"/>
      <w:bCs w:val="0"/>
      <w:i w:val="0"/>
      <w:iCs w:val="0"/>
      <w:smallCaps w:val="0"/>
      <w:strike w:val="0"/>
      <w:color w:val="355836"/>
      <w:spacing w:val="0"/>
      <w:w w:val="100"/>
      <w:position w:val="0"/>
      <w:sz w:val="22"/>
      <w:szCs w:val="22"/>
      <w:u w:val="none"/>
    </w:rPr>
  </w:style>
  <w:style w:type="character" w:customStyle="1" w:styleId="Other1">
    <w:name w:val="Other|1_"/>
    <w:basedOn w:val="DefaultParagraphFont"/>
    <w:link w:val="Other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paragraph" w:customStyle="1" w:styleId="Other10">
    <w:name w:val="Other|1"/>
    <w:basedOn w:val="Normal"/>
    <w:link w:val="Other1"/>
    <w:uiPriority w:val="99"/>
    <w:pPr>
      <w:bidi/>
      <w:spacing w:before="0" w:after="0" w:line="360" w:lineRule="auto"/>
      <w:ind w:left="0" w:right="0" w:firstLine="38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character" w:customStyle="1" w:styleId="Other2">
    <w:name w:val="Other|2_"/>
    <w:basedOn w:val="DefaultParagraphFont"/>
    <w:link w:val="Other2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ar-SA"/>
    </w:rPr>
  </w:style>
  <w:style w:type="paragraph" w:customStyle="1" w:styleId="Other20">
    <w:name w:val="Other|2"/>
    <w:basedOn w:val="Normal"/>
    <w:link w:val="Other2"/>
    <w:uiPriority w:val="99"/>
    <w:pPr>
      <w:bidi w:val="0"/>
      <w:spacing w:before="60" w:after="0" w:line="240" w:lineRule="auto"/>
      <w:ind w:left="80" w:right="7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character" w:customStyle="1" w:styleId="Headerorfooter200">
    <w:name w:val="Header or footer|2__0"/>
    <w:basedOn w:val="DefaultParagraphFont"/>
    <w:link w:val="Headerorfooter201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ar-SA" w:eastAsia="ar-SA" w:bidi="ar-SA"/>
    </w:rPr>
  </w:style>
  <w:style w:type="paragraph" w:customStyle="1" w:styleId="Headerorfooter201">
    <w:name w:val="Header or footer|2_0"/>
    <w:basedOn w:val="Normal"/>
    <w:link w:val="Headerorfooter200"/>
    <w:uiPriority w:val="99"/>
    <w:pPr>
      <w:bidi w:val="0"/>
      <w:spacing w:before="0" w:after="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2"/>
      <w:szCs w:val="22"/>
      <w:u w:val="none"/>
      <w:lang w:val="ar-SA" w:eastAsia="ar-SA"/>
    </w:rPr>
  </w:style>
  <w:style w:type="character" w:customStyle="1" w:styleId="Headerorfooter100">
    <w:name w:val="Header or footer|1__0"/>
    <w:basedOn w:val="DefaultParagraphFont"/>
    <w:link w:val="Headerorfooter101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ar-SA" w:eastAsia="ar-SA" w:bidi="ar-SA"/>
    </w:rPr>
  </w:style>
  <w:style w:type="paragraph" w:customStyle="1" w:styleId="Headerorfooter101">
    <w:name w:val="Header or footer|1_0"/>
    <w:basedOn w:val="Normal"/>
    <w:link w:val="Headerorfooter100"/>
    <w:uiPriority w:val="99"/>
    <w:pPr>
      <w:bidi/>
      <w:spacing w:before="0" w:after="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ar-SA" w:eastAsia="ar-SA"/>
    </w:rPr>
  </w:style>
  <w:style w:type="character" w:customStyle="1" w:styleId="Bodytext100">
    <w:name w:val="Body text|1__0"/>
    <w:basedOn w:val="DefaultParagraphFont"/>
    <w:link w:val="Bodytext101"/>
    <w:uiPriority w:val="99"/>
    <w:rPr>
      <w:rFonts w:ascii="Courier New" w:hAnsi="Courier New" w:cs="Courier New"/>
      <w:b w:val="0"/>
      <w:bCs w:val="0"/>
      <w:i w:val="0"/>
      <w:iCs w:val="0"/>
      <w:smallCaps w:val="0"/>
      <w:strike w:val="0"/>
      <w:color w:val="365836"/>
      <w:spacing w:val="0"/>
      <w:w w:val="100"/>
      <w:position w:val="0"/>
      <w:sz w:val="34"/>
      <w:szCs w:val="34"/>
      <w:u w:val="none"/>
      <w:lang w:bidi="ar-SA"/>
    </w:rPr>
  </w:style>
  <w:style w:type="paragraph" w:customStyle="1" w:styleId="Bodytext101">
    <w:name w:val="Body text|1_0"/>
    <w:basedOn w:val="Normal"/>
    <w:link w:val="Bodytext100"/>
    <w:uiPriority w:val="99"/>
    <w:pPr>
      <w:bidi/>
      <w:spacing w:before="0" w:after="0" w:line="324" w:lineRule="auto"/>
      <w:ind w:left="0" w:right="0" w:firstLine="0"/>
      <w:jc w:val="left"/>
    </w:pPr>
    <w:rPr>
      <w:rFonts w:ascii="Courier New" w:hAnsi="Courier New" w:cs="Courier New"/>
      <w:b w:val="0"/>
      <w:bCs w:val="0"/>
      <w:i w:val="0"/>
      <w:iCs w:val="0"/>
      <w:smallCaps w:val="0"/>
      <w:strike w:val="0"/>
      <w:color w:val="365836"/>
      <w:spacing w:val="0"/>
      <w:w w:val="100"/>
      <w:position w:val="0"/>
      <w:sz w:val="34"/>
      <w:szCs w:val="34"/>
      <w:u w:val="none"/>
    </w:rPr>
  </w:style>
  <w:style w:type="character" w:customStyle="1" w:styleId="Other200">
    <w:name w:val="Other|2__0"/>
    <w:basedOn w:val="DefaultParagraphFont"/>
    <w:link w:val="Other201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Other201">
    <w:name w:val="Other|2_0"/>
    <w:basedOn w:val="Normal"/>
    <w:link w:val="Other200"/>
    <w:uiPriority w:val="99"/>
    <w:pPr>
      <w:bidi w:val="0"/>
      <w:spacing w:before="60" w:after="0" w:line="240" w:lineRule="auto"/>
      <w:ind w:left="80" w:right="7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erorfooter21">
    <w:name w:val="Header or footer|2__1"/>
    <w:basedOn w:val="DefaultParagraphFont"/>
    <w:link w:val="Headerorfooter2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erorfooter210">
    <w:name w:val="Header or footer|2_1"/>
    <w:basedOn w:val="Normal"/>
    <w:link w:val="Headerorfooter21"/>
    <w:uiPriority w:val="99"/>
    <w:pPr>
      <w:bidi/>
      <w:spacing w:before="0" w:after="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Bodytext11">
    <w:name w:val="Body text|1__1"/>
    <w:basedOn w:val="DefaultParagraphFont"/>
    <w:link w:val="Bodytext110"/>
    <w:uiPriority w:val="99"/>
    <w:rPr>
      <w:rFonts w:ascii="Tahoma" w:hAnsi="Tahoma" w:cs="Tahoma"/>
      <w:b w:val="0"/>
      <w:bCs w:val="0"/>
      <w:i w:val="0"/>
      <w:iCs w:val="0"/>
      <w:smallCaps w:val="0"/>
      <w:strike w:val="0"/>
      <w:color w:val="375937"/>
      <w:spacing w:val="0"/>
      <w:w w:val="100"/>
      <w:position w:val="0"/>
      <w:sz w:val="26"/>
      <w:szCs w:val="26"/>
      <w:u w:val="none"/>
      <w:lang w:bidi="ar-SA"/>
    </w:rPr>
  </w:style>
  <w:style w:type="paragraph" w:customStyle="1" w:styleId="Bodytext110">
    <w:name w:val="Body text|1_1"/>
    <w:basedOn w:val="Normal"/>
    <w:link w:val="Bodytext11"/>
    <w:uiPriority w:val="99"/>
    <w:pPr>
      <w:bidi/>
      <w:spacing w:before="0" w:after="310" w:line="240" w:lineRule="auto"/>
      <w:ind w:left="0" w:right="0" w:firstLine="0"/>
      <w:jc w:val="left"/>
    </w:pPr>
    <w:rPr>
      <w:rFonts w:ascii="Tahoma" w:hAnsi="Tahoma" w:cs="Tahoma"/>
      <w:b w:val="0"/>
      <w:bCs w:val="0"/>
      <w:i w:val="0"/>
      <w:iCs w:val="0"/>
      <w:smallCaps w:val="0"/>
      <w:strike w:val="0"/>
      <w:color w:val="375937"/>
      <w:spacing w:val="0"/>
      <w:w w:val="100"/>
      <w:position w:val="0"/>
      <w:sz w:val="26"/>
      <w:szCs w:val="2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image" Target="media/image2.jpeg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4.xml" /><Relationship Id="rId15" Type="http://schemas.openxmlformats.org/officeDocument/2006/relationships/footer" Target="footer5.xml" /><Relationship Id="rId16" Type="http://schemas.openxmlformats.org/officeDocument/2006/relationships/header" Target="header6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header" Target="header8.xml" /><Relationship Id="rId2" Type="http://schemas.openxmlformats.org/officeDocument/2006/relationships/webSettings" Target="webSettings.xml" /><Relationship Id="rId20" Type="http://schemas.openxmlformats.org/officeDocument/2006/relationships/footer" Target="footer7.xml" /><Relationship Id="rId21" Type="http://schemas.openxmlformats.org/officeDocument/2006/relationships/footer" Target="footer8.xml" /><Relationship Id="rId22" Type="http://schemas.openxmlformats.org/officeDocument/2006/relationships/header" Target="header9.xml" /><Relationship Id="rId23" Type="http://schemas.openxmlformats.org/officeDocument/2006/relationships/footer" Target="footer9.xml" /><Relationship Id="rId24" Type="http://schemas.openxmlformats.org/officeDocument/2006/relationships/header" Target="header10.xml" /><Relationship Id="rId25" Type="http://schemas.openxmlformats.org/officeDocument/2006/relationships/header" Target="header11.xml" /><Relationship Id="rId26" Type="http://schemas.openxmlformats.org/officeDocument/2006/relationships/footer" Target="footer10.xml" /><Relationship Id="rId27" Type="http://schemas.openxmlformats.org/officeDocument/2006/relationships/footer" Target="footer11.xml" /><Relationship Id="rId28" Type="http://schemas.openxmlformats.org/officeDocument/2006/relationships/header" Target="header12.xml" /><Relationship Id="rId29" Type="http://schemas.openxmlformats.org/officeDocument/2006/relationships/footer" Target="footer12.xml" /><Relationship Id="rId3" Type="http://schemas.openxmlformats.org/officeDocument/2006/relationships/fontTable" Target="fontTable.xml" /><Relationship Id="rId30" Type="http://schemas.openxmlformats.org/officeDocument/2006/relationships/header" Target="header13.xml" /><Relationship Id="rId31" Type="http://schemas.openxmlformats.org/officeDocument/2006/relationships/header" Target="header14.xml" /><Relationship Id="rId32" Type="http://schemas.openxmlformats.org/officeDocument/2006/relationships/footer" Target="footer13.xml" /><Relationship Id="rId33" Type="http://schemas.openxmlformats.org/officeDocument/2006/relationships/footer" Target="footer14.xml" /><Relationship Id="rId34" Type="http://schemas.openxmlformats.org/officeDocument/2006/relationships/header" Target="header15.xml" /><Relationship Id="rId35" Type="http://schemas.openxmlformats.org/officeDocument/2006/relationships/footer" Target="footer15.xml" /><Relationship Id="rId36" Type="http://schemas.openxmlformats.org/officeDocument/2006/relationships/header" Target="header16.xml" /><Relationship Id="rId37" Type="http://schemas.openxmlformats.org/officeDocument/2006/relationships/header" Target="header17.xml" /><Relationship Id="rId38" Type="http://schemas.openxmlformats.org/officeDocument/2006/relationships/footer" Target="footer16.xml" /><Relationship Id="rId39" Type="http://schemas.openxmlformats.org/officeDocument/2006/relationships/footer" Target="footer17.xml" /><Relationship Id="rId4" Type="http://schemas.openxmlformats.org/officeDocument/2006/relationships/image" Target="media/image1.jpeg" /><Relationship Id="rId40" Type="http://schemas.openxmlformats.org/officeDocument/2006/relationships/header" Target="header18.xml" /><Relationship Id="rId41" Type="http://schemas.openxmlformats.org/officeDocument/2006/relationships/footer" Target="footer18.xml" /><Relationship Id="rId42" Type="http://schemas.openxmlformats.org/officeDocument/2006/relationships/header" Target="header19.xml" /><Relationship Id="rId43" Type="http://schemas.openxmlformats.org/officeDocument/2006/relationships/header" Target="header20.xml" /><Relationship Id="rId44" Type="http://schemas.openxmlformats.org/officeDocument/2006/relationships/footer" Target="footer19.xml" /><Relationship Id="rId45" Type="http://schemas.openxmlformats.org/officeDocument/2006/relationships/footer" Target="footer20.xml" /><Relationship Id="rId46" Type="http://schemas.openxmlformats.org/officeDocument/2006/relationships/header" Target="header21.xml" /><Relationship Id="rId47" Type="http://schemas.openxmlformats.org/officeDocument/2006/relationships/footer" Target="footer21.xml" /><Relationship Id="rId48" Type="http://schemas.openxmlformats.org/officeDocument/2006/relationships/header" Target="header22.xml" /><Relationship Id="rId49" Type="http://schemas.openxmlformats.org/officeDocument/2006/relationships/header" Target="header23.xml" /><Relationship Id="rId5" Type="http://schemas.openxmlformats.org/officeDocument/2006/relationships/header" Target="header1.xml" /><Relationship Id="rId50" Type="http://schemas.openxmlformats.org/officeDocument/2006/relationships/footer" Target="footer22.xml" /><Relationship Id="rId51" Type="http://schemas.openxmlformats.org/officeDocument/2006/relationships/footer" Target="footer23.xml" /><Relationship Id="rId52" Type="http://schemas.openxmlformats.org/officeDocument/2006/relationships/header" Target="header24.xml" /><Relationship Id="rId53" Type="http://schemas.openxmlformats.org/officeDocument/2006/relationships/footer" Target="footer24.xml" /><Relationship Id="rId54" Type="http://schemas.openxmlformats.org/officeDocument/2006/relationships/image" Target="media/image3.jpeg" /><Relationship Id="rId55" Type="http://schemas.openxmlformats.org/officeDocument/2006/relationships/header" Target="header25.xml" /><Relationship Id="rId56" Type="http://schemas.openxmlformats.org/officeDocument/2006/relationships/header" Target="header26.xml" /><Relationship Id="rId57" Type="http://schemas.openxmlformats.org/officeDocument/2006/relationships/footer" Target="footer25.xml" /><Relationship Id="rId58" Type="http://schemas.openxmlformats.org/officeDocument/2006/relationships/footer" Target="footer26.xml" /><Relationship Id="rId59" Type="http://schemas.openxmlformats.org/officeDocument/2006/relationships/header" Target="header27.xml" /><Relationship Id="rId6" Type="http://schemas.openxmlformats.org/officeDocument/2006/relationships/header" Target="header2.xml" /><Relationship Id="rId60" Type="http://schemas.openxmlformats.org/officeDocument/2006/relationships/footer" Target="footer27.xml" /><Relationship Id="rId61" Type="http://schemas.openxmlformats.org/officeDocument/2006/relationships/header" Target="header28.xml" /><Relationship Id="rId62" Type="http://schemas.openxmlformats.org/officeDocument/2006/relationships/header" Target="header29.xml" /><Relationship Id="rId63" Type="http://schemas.openxmlformats.org/officeDocument/2006/relationships/footer" Target="footer28.xml" /><Relationship Id="rId64" Type="http://schemas.openxmlformats.org/officeDocument/2006/relationships/footer" Target="footer29.xml" /><Relationship Id="rId65" Type="http://schemas.openxmlformats.org/officeDocument/2006/relationships/header" Target="header30.xml" /><Relationship Id="rId66" Type="http://schemas.openxmlformats.org/officeDocument/2006/relationships/footer" Target="footer30.xml" /><Relationship Id="rId67" Type="http://schemas.openxmlformats.org/officeDocument/2006/relationships/image" Target="media/image4.jpeg" /><Relationship Id="rId68" Type="http://schemas.openxmlformats.org/officeDocument/2006/relationships/image" Target="media/image5.jpeg" /><Relationship Id="rId69" Type="http://schemas.openxmlformats.org/officeDocument/2006/relationships/header" Target="header31.xml" /><Relationship Id="rId7" Type="http://schemas.openxmlformats.org/officeDocument/2006/relationships/footer" Target="footer1.xml" /><Relationship Id="rId70" Type="http://schemas.openxmlformats.org/officeDocument/2006/relationships/header" Target="header32.xml" /><Relationship Id="rId71" Type="http://schemas.openxmlformats.org/officeDocument/2006/relationships/footer" Target="footer31.xml" /><Relationship Id="rId72" Type="http://schemas.openxmlformats.org/officeDocument/2006/relationships/footer" Target="footer32.xml" /><Relationship Id="rId73" Type="http://schemas.openxmlformats.org/officeDocument/2006/relationships/header" Target="header33.xml" /><Relationship Id="rId74" Type="http://schemas.openxmlformats.org/officeDocument/2006/relationships/footer" Target="footer33.xml" /><Relationship Id="rId75" Type="http://schemas.openxmlformats.org/officeDocument/2006/relationships/header" Target="header34.xml" /><Relationship Id="rId76" Type="http://schemas.openxmlformats.org/officeDocument/2006/relationships/header" Target="header35.xml" /><Relationship Id="rId77" Type="http://schemas.openxmlformats.org/officeDocument/2006/relationships/footer" Target="footer34.xml" /><Relationship Id="rId78" Type="http://schemas.openxmlformats.org/officeDocument/2006/relationships/footer" Target="footer35.xml" /><Relationship Id="rId79" Type="http://schemas.openxmlformats.org/officeDocument/2006/relationships/header" Target="header36.xml" /><Relationship Id="rId8" Type="http://schemas.openxmlformats.org/officeDocument/2006/relationships/footer" Target="footer2.xml" /><Relationship Id="rId80" Type="http://schemas.openxmlformats.org/officeDocument/2006/relationships/footer" Target="footer36.xml" /><Relationship Id="rId81" Type="http://schemas.openxmlformats.org/officeDocument/2006/relationships/image" Target="media/image6.jpeg" /><Relationship Id="rId82" Type="http://schemas.openxmlformats.org/officeDocument/2006/relationships/header" Target="header37.xml" /><Relationship Id="rId83" Type="http://schemas.openxmlformats.org/officeDocument/2006/relationships/header" Target="header38.xml" /><Relationship Id="rId84" Type="http://schemas.openxmlformats.org/officeDocument/2006/relationships/footer" Target="footer37.xml" /><Relationship Id="rId85" Type="http://schemas.openxmlformats.org/officeDocument/2006/relationships/footer" Target="footer38.xml" /><Relationship Id="rId86" Type="http://schemas.openxmlformats.org/officeDocument/2006/relationships/header" Target="header39.xml" /><Relationship Id="rId87" Type="http://schemas.openxmlformats.org/officeDocument/2006/relationships/footer" Target="footer39.xml" /><Relationship Id="rId88" Type="http://schemas.openxmlformats.org/officeDocument/2006/relationships/header" Target="header40.xml" /><Relationship Id="rId89" Type="http://schemas.openxmlformats.org/officeDocument/2006/relationships/header" Target="header41.xml" /><Relationship Id="rId9" Type="http://schemas.openxmlformats.org/officeDocument/2006/relationships/header" Target="header3.xml" /><Relationship Id="rId90" Type="http://schemas.openxmlformats.org/officeDocument/2006/relationships/footer" Target="footer40.xml" /><Relationship Id="rId91" Type="http://schemas.openxmlformats.org/officeDocument/2006/relationships/footer" Target="footer41.xml" /><Relationship Id="rId92" Type="http://schemas.openxmlformats.org/officeDocument/2006/relationships/header" Target="header42.xml" /><Relationship Id="rId93" Type="http://schemas.openxmlformats.org/officeDocument/2006/relationships/footer" Target="footer42.xml" /><Relationship Id="rId94" Type="http://schemas.openxmlformats.org/officeDocument/2006/relationships/theme" Target="theme/theme1.xml" /><Relationship Id="rId9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