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210"/>
        <w:keepNext/>
        <w:keepLines/>
        <w:framePr w:w="2229" w:h="634" w:hRule="atLeast" w:wrap="none" w:vAnchor="margin" w:hAnchor="margin" w:x="3882" w:y="985"/>
        <w:spacing w:after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  <w:bookmarkStart w:id="0" w:name="bookmark0"/>
      <w:bookmarkEnd w:id="0"/>
    </w:p>
    <w:p>
      <w:pPr>
        <w:pStyle w:val="Bodytext10"/>
        <w:framePr w:w="599" w:h="1405" w:hRule="atLeast" w:wrap="none" w:vAnchor="margin" w:hAnchor="margin" w:x="1336" w:y="1"/>
        <w:spacing w:after="12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شماره: </w:t>
      </w:r>
    </w:p>
    <w:p>
      <w:pPr>
        <w:pStyle w:val="Bodytext10"/>
        <w:framePr w:w="599" w:h="1405" w:hRule="atLeast" w:wrap="none" w:vAnchor="margin" w:hAnchor="margin" w:x="1336" w:y="1"/>
        <w:spacing w:after="6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تاریخ : </w:t>
      </w:r>
    </w:p>
    <w:p>
      <w:pPr>
        <w:pStyle w:val="Heading110"/>
        <w:keepNext/>
        <w:keepLines/>
        <w:framePr w:w="599" w:h="1405" w:hRule="atLeast" w:wrap="none" w:vAnchor="margin" w:hAnchor="margin" w:x="1336" w:y="1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پیوست </w:t>
      </w:r>
      <w:bookmarkStart w:id="1" w:name="bookmark2"/>
      <w:bookmarkEnd w:id="1"/>
    </w:p>
    <w:p>
      <w:pPr>
        <w:pStyle w:val="Bodytext20"/>
        <w:framePr w:w="858" w:h="248" w:hRule="atLeast" w:wrap="none" w:vAnchor="margin" w:hAnchor="margin" w:x="150" w:y="58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sz w:val="27"/>
          <w:szCs w:val="27"/>
          <w:lang w:val="fa-IR" w:eastAsia="fa-IR"/>
        </w:rPr>
        <w:t xml:space="preserve">93٫61583 </w:t>
      </w:r>
    </w:p>
    <w:p>
      <w:pPr>
        <w:pStyle w:val="Bodytext20"/>
        <w:framePr w:w="1014" w:h="248" w:hRule="atLeast" w:wrap="none" w:vAnchor="margin" w:hAnchor="margin" w:x="1" w:y="547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sz w:val="27"/>
          <w:szCs w:val="27"/>
          <w:lang w:val="fa-IR" w:eastAsia="fa-IR"/>
        </w:rPr>
        <w:t xml:space="preserve">1393٫04٫18 </w:t>
      </w:r>
    </w:p>
    <w:p>
      <w:pPr>
        <w:pStyle w:val="Bodytext10"/>
        <w:framePr w:w="403" w:h="317" w:hRule="atLeast" w:wrap="none" w:vAnchor="margin" w:hAnchor="margin" w:x="622" w:y="973"/>
        <w:spacing w:after="0"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ندارد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38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footerReference w:type="default" r:id="rId4"/>
          <w:pgSz w:w="11900" w:h="16840"/>
          <w:pgMar w:top="1105" w:right="1616" w:bottom="659" w:left="919" w:header="677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39" w:after="3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105" w:right="0" w:bottom="1105" w:left="0" w:header="0" w:footer="3" w:gutter="0"/>
          <w:cols w:space="720"/>
          <w:bidi w:val="0"/>
          <w:docGrid w:linePitch="360"/>
        </w:sectPr>
      </w:pPr>
    </w:p>
    <w:p>
      <w:pPr>
        <w:pStyle w:val="Heading210"/>
        <w:keepNext/>
        <w:keepLines/>
        <w:framePr w:wrap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</w:t>
      </w:r>
      <w:bookmarkStart w:id="2" w:name="bookmark4"/>
      <w:bookmarkEnd w:id="2"/>
    </w:p>
    <w:p>
      <w:pPr>
        <w:pStyle w:val="Bodytext10"/>
        <w:framePr w:wrap="auto"/>
        <w:tabs>
          <w:tab w:val="left" w:pos="4654"/>
        </w:tabs>
        <w:spacing w:after="46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موضوع : نحوه رفع محدودیتهای بدهکاران مالیاتی در شرکتها و موسسات دارای بدهی مالیاتی </w: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lang w:val="fa-IR" w:eastAsia="fa-IR"/>
        </w:rPr>
        <w:t xml:space="preserve">سلام علیکم </w:t>
      </w:r>
    </w:p>
    <w:p>
      <w:pPr>
        <w:pStyle w:val="Bodytext10"/>
        <w:framePr w:wrap="auto"/>
        <w:spacing w:after="8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احترام، در اجرای تکالیف مشترک بین سازمان ثبت و سازمان امور مالیاتی مبنی بر شناسایی و اعمال محدودیت های قانونی برای بدهکاران مالیاتی در راستای تکلیف بند ۱-۵۶ قانون بودجه سال ۱۳۹۲ . بپیوست تصویر نامه شماره ۵٫۲۳۳٫۱۰۰۱۱ مورخ ۱۳۹۳٫۳٫۲۷ مدیر کل محترم دفتر حسابداری و وصول مالیات سازمان امور مالیاتی مبنی بر اینکه عملیات مربوط به وصول مالیات پس از ثبت در سیستم وصول و اجرای تحت وب بصورت online ) به روز رسانی شده و در کل کشور در دسترس ادارات امور مالیاتی میباشد جهت امعان نظر و این که هر گونه اقدام مبنی بر اعمال و یا رفع محدویت در راستای مقررات مرقوم فقط از طریق سازمان امور مالیاتی کشور صورت می پذیرد ارسال می گردد . </w:t>
      </w:r>
    </w:p>
    <w:p>
      <w:pPr>
        <w:pStyle w:val="Heading210"/>
        <w:keepNext/>
        <w:keepLines/>
        <w:framePr w:wrap="auto"/>
        <w:ind w:left="0" w:right="4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3" w:name="bookmark6"/>
      <w:bookmarkEnd w:id="3"/>
    </w:p>
    <w:p>
      <w:pPr>
        <w:pStyle w:val="Heading210"/>
        <w:keepNext/>
        <w:keepLines/>
        <w:framePr w:wrap="auto"/>
        <w:spacing w:after="300"/>
        <w:ind w:left="0" w:right="30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type w:val="continuous"/>
      <w:pgSz w:w="11900" w:h="16840"/>
      <w:pgMar w:top="1105" w:right="1616" w:bottom="1105" w:left="1443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15pt;height:6.6pt;margin-top:804.0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color w:val="035002"/>
                    <w:sz w:val="22"/>
                    <w:szCs w:val="22"/>
                    <w:lang w:val="fa-IR" w:eastAsia="fa-IR" w:bidi="ar-SA"/>
                  </w:rPr>
                  <w:t>م.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637"/>
      <w:spacing w:val="0"/>
      <w:w w:val="100"/>
      <w:position w:val="0"/>
      <w:sz w:val="40"/>
      <w:szCs w:val="40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40" w:line="240" w:lineRule="auto"/>
      <w:ind w:left="1500" w:right="0" w:firstLine="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36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0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A5637"/>
      <w:spacing w:val="0"/>
      <w:w w:val="100"/>
      <w:position w:val="0"/>
      <w:sz w:val="40"/>
      <w:szCs w:val="4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14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