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10"/>
        <w:framePr w:wrap="auto"/>
        <w:spacing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۰۰۰۰ قانون اتاق ایران </w:t>
      </w:r>
    </w:p>
    <w:p>
      <w:pPr>
        <w:pStyle w:val="Bodytext10"/>
        <w:framePr w:wrap="auto"/>
        <w:spacing w:after="10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 </w:t>
      </w:r>
    </w:p>
    <w:p>
      <w:pPr>
        <w:pStyle w:val="Bodytext10"/>
        <w:framePr w:wrap="auto"/>
        <w:spacing w:line="415"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وظایف و اختیارات اتاق ایران عبار است از :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الف ایجاد هماهنگی و همکاری بین بازرگانان و صاحبان صنایع و معادن و کشاورزی در اجرای قوانین مربوطه و مقررات جاری مملکتی </w:t>
      </w:r>
    </w:p>
    <w:p>
      <w:pPr>
        <w:pStyle w:val="Bodytext10"/>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 ارائه نظر مشورتی در مورد مسایل اقتصادی کشور اعم از بازرگانی، صنعتی و معدنی و مانند آن به قوای سه گانه </w:t>
      </w:r>
    </w:p>
    <w:p>
      <w:pPr>
        <w:pStyle w:val="Bodytext10"/>
        <w:framePr w:wrap="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 همکاری با دستگاه های اجرایی و سایر مراجع ذیربط به منظور اجرای قوانین و مقررات مربوط به اتاق.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ارتباط با اتاق سایر کشورها و تشکیل اتاقهای مشترک و کمیته های مشترک با آنها بر اساس سیاست های کلی نظام جمهوری اسلامی ایران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 تشکیل نمایشگاه های تخصصی و بازرگانی داخلی و خارجی با کسب مجوز از وزارت بازرگانی و شرکت در سمینارها و کنفرانس های مربوط به فعالیتهای بازرگانی صنعتی معدنی و کشاورزی اتاق در چارچوب سیاستهای نظام جمهوری اسلامی ایران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کوشش در راه شناسایی بازار کالاهای صادراتی ایران در خارج از کشور و تشویق و کمک به مؤسسات مربوطه جهت شرکت در نمایشگاههای بازرگانی داخلی و خارجی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تشویق و ترغیب سرمایه گذاری داخلی در امور تولیدی بالاخص تولید کالاهای صادراتی که دارای مزیت نسبی باشند. </w:t>
      </w:r>
    </w:p>
    <w:p>
      <w:pPr>
        <w:pStyle w:val="Bodytext10"/>
        <w:framePr w:wrap="auto"/>
        <w:spacing w:line="38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 تلاش در جهت بررسی و حکمیت در مورد مسایل بازرگانی داخلی و خارجی اعضا و سایر متقاضیان از طریق مرکز داوری اتاق ایران طبق اساسنامه ای که توسط دستگاه قضایی تهیه و به تصویب مجلس شورای اسلامی خواهد رسید. </w:t>
      </w:r>
    </w:p>
    <w:p>
      <w:pPr>
        <w:pStyle w:val="Bodytext10"/>
        <w:framePr w:wrap="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ط ایجاد و اداره مرکز آمار و اطلاعات اقتصادی بمنظور انجام وظایف و فعالیت های اتاق </w:t>
      </w:r>
    </w:p>
    <w:p>
      <w:pPr>
        <w:pStyle w:val="Bodytext10"/>
        <w:framePr w:wrap="auto"/>
        <w:spacing w:after="10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صدور کارت عضویت طبق آیین نامه اتاق ایران جهت تکمیل مدارک صدور کارت بازرگانی </w:t>
      </w:r>
    </w:p>
    <w:p>
      <w:pPr>
        <w:pStyle w:val="Bodytext10"/>
        <w:framePr w:wrap="auto"/>
        <w:spacing w:line="44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 تشکیل اتحادیه های صادراتی و وارداتی و سندیکاهای تولیدی در زمینه فعالیت های بازرگانی، صنعتی معدنی و خدماتی طبق مقررات مربوط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ل دایر کردن دوره های کاربردی در رشته های مختلف بازرگانی صنعتی معدنی و خدماتی متناسب با احتیاجات کشور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 - تهیه، صدور، تفریغ و تأیید اسنادی که طبق مقررات بین المللی بعهده اتاق ایران می باشد با هماهنگی وزارت بازرگانی </w:t>
      </w:r>
    </w:p>
    <w:p>
      <w:pPr>
        <w:pStyle w:val="Bodytext10"/>
        <w:framePr w:wrap="auto"/>
        <w:spacing w:line="240" w:lineRule="auto"/>
        <w:ind w:firstLine="200"/>
        <w:jc w:val="both"/>
        <w:rPr>
          <w:rFonts w:ascii="Times New Roman" w:hAnsi="Times New Roman" w:cs="Times New Roman"/>
          <w:b w:val="0"/>
          <w:bCs w:val="0"/>
          <w:i w:val="0"/>
          <w:iCs w:val="0"/>
          <w:smallCaps w:val="0"/>
          <w:strike w:val="0"/>
          <w:sz w:val="24"/>
          <w:szCs w:val="24"/>
          <w:u w:val="none"/>
        </w:rPr>
        <w:sectPr>
          <w:pgSz w:w="11900" w:h="16840"/>
          <w:pgMar w:top="2614" w:right="2607" w:bottom="2614" w:left="2670" w:header="2186" w:footer="2186" w:gutter="0"/>
          <w:pgNumType w:start="2"/>
          <w:cols w:space="720"/>
          <w:bidi/>
          <w:docGrid w:linePitch="360"/>
        </w:sectPr>
      </w:pPr>
      <w:r>
        <w:rPr>
          <w:rStyle w:val="Bodytext1"/>
          <w:rFonts w:ascii="Microsoft Uighur" w:hAnsi="Microsoft Uighur" w:cs="Microsoft Uighur"/>
          <w:b/>
          <w:bCs/>
          <w:sz w:val="24"/>
          <w:szCs w:val="24"/>
          <w:lang w:val="fa-IR" w:eastAsia="fa-IR"/>
        </w:rPr>
        <w:t xml:space="preserve">ن تشکیل اتاقهای مشترک با کشورهای دوست با هماهنگی وزارتین بازرگانی و امور خارجه </w:t>
      </w:r>
    </w:p>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sz w:val="27"/>
          <w:szCs w:val="27"/>
          <w:lang w:val="fa-IR" w:eastAsia="fa-IR"/>
        </w:rPr>
        <w:t xml:space="preserve">anae آیین نامه تشکیل اتاقهای مشترک بازرگانی و صنایع و معادن مصوب ۱۳۷۸٫۰۸٫۲۳ شورای عالی نظارت </w:t>
      </w:r>
    </w:p>
    <w:p>
      <w:pPr>
        <w:pStyle w:val="Bodytext10"/>
        <w:framePr w:wrap="auto"/>
        <w:spacing w:line="41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اجرای بند آن ماده ۵ قانون اتاق بازرگانی و صنایع و معادن جمهوری اسلامی ایران، مصوب ۱۳۶۹٫۱۲٫۱۵ با اصلاحیه ۱۳۷۳٫۰۹٫۱۵ شورای عالی نظارت بر اتاق ایران در جلسه مورخ ۱۳۷۸٫۰۸٫۲۳ خود آیین نامه تشکیل اتاقهای مشترک بازرگانی و صنایع و معادن را به شرح زیر تصویب نمود: </w:t>
      </w:r>
    </w:p>
    <w:p>
      <w:pPr>
        <w:pStyle w:val="Bodytext10"/>
        <w:framePr w:wrap="auto"/>
        <w:spacing w:line="41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اتاق های مشترک برای تشویق و توسعه روابط و مبادلات عامل های اقتصادی ایرانی و خارجی تشکیل می شوند و به نحوی عمل خواهند کرد که به رشد و تقویت همکاریهای اقتصادی دو کشور کمک نمایند.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کلیه اشخاص حقیقی یا حقوقی ایرانی و خارجی که در ارتباط با مبادلات اقتصادی فیمابین ایران و کشور خارجی خاص فعالیت داشته و دارند میتوانند به عضویت اتاق های مشترک در آیند. </w:t>
      </w:r>
    </w:p>
    <w:p>
      <w:pPr>
        <w:pStyle w:val="Bodytext10"/>
        <w:framePr w:wrap="auto"/>
        <w:spacing w:line="38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اعضای ایرانی اتاق مشترک باید قبلاً به عضویت یکی از اتاقهای بازرگانی و صنایع و معادن ایران پذیرفته شده و عضویت آنها معتبر باشد. </w:t>
      </w:r>
    </w:p>
    <w:p>
      <w:pPr>
        <w:pStyle w:val="Bodytext10"/>
        <w:framePr w:wrap="auto"/>
        <w:spacing w:line="46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اتاق های مشترک وابسته به اتاق ایران هستند اما در قبال اعمال و تعهدات خود دارای مسؤولیت حقوقی مالی مستقل می باشند. </w:t>
      </w:r>
    </w:p>
    <w:p>
      <w:pPr>
        <w:pStyle w:val="Bodytext10"/>
        <w:framePr w:wrap="auto"/>
        <w:spacing w:line="42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شخصیت هایی که در تحقق اهداف اتاق مشترک و پیشرفت مناسبات اقتصادی جمهوری اسلامی ایران و کشور مقابل خدمات فوق العاده انجام داده و یا ممکن است در آینده منشأ خدمات ارزنده گردند، با تصویب هیأت مدیره می توانند به عضویت با ریاست افتخاری اتاق مشترک پذیرفته شوند. </w:t>
      </w:r>
    </w:p>
    <w:p>
      <w:pPr>
        <w:pStyle w:val="Bodytext10"/>
        <w:framePr w:wrap="auto"/>
        <w:spacing w:line="42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متقاضیان تشکیل اتاق مشترک میتوانند از اتاق ایران درخواست چنین امری را بنمایند. پیشنهاد تشکیل اتاق مشترک در جلسه هیأت رئیسه اتاق ایران مطرح می شود و در صورت نصوب، اقدام به تشکیل آن می گردد. چنانچه تقاضایی برای تشکیل اتاق مشترک نشده باشد، اما هیات رییسه با هیات نمایندگان اتاق ایران وجود آنرا ضروری بدانند، اتاق ایران رأساً اقدام به تشکیل اتاق مشترک خواهد نمود. در صورتیکه کشور مقابل دارای سیستم اتاق مشترک باشد تشکیل این اتاق منوط به تشکیل آن در کشور مقابل است در موارد خاص نظر هیات رئیسه اتاق بازرگانی و صنایع و معادن ایران مجری خواهد بود. </w:t>
      </w:r>
    </w:p>
    <w:p>
      <w:pPr>
        <w:pStyle w:val="Bodytext10"/>
        <w:framePr w:wrap="auto"/>
        <w:spacing w:line="46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ارتباط با اتاق سایر کشورها و تشکیل اتاقهای مشترک و کمیته های مشترک با آنها بر اساس سیاست های کلی نظام جمهوری اسلامی ایران و با هماهنگی وزارتین بازرگانی و امور خارجه خواهد بود. </w:t>
      </w:r>
    </w:p>
    <w:p>
      <w:pPr>
        <w:pStyle w:val="Bodytext10"/>
        <w:framePr w:wrap="auto"/>
        <w:spacing w:line="418" w:lineRule="auto"/>
        <w:ind w:firstLine="240"/>
        <w:jc w:val="both"/>
        <w:rPr>
          <w:rFonts w:ascii="Times New Roman" w:hAnsi="Times New Roman" w:cs="Times New Roman"/>
          <w:b w:val="0"/>
          <w:bCs w:val="0"/>
          <w:i w:val="0"/>
          <w:iCs w:val="0"/>
          <w:smallCaps w:val="0"/>
          <w:strike w:val="0"/>
          <w:sz w:val="24"/>
          <w:szCs w:val="24"/>
          <w:u w:val="none"/>
        </w:rPr>
        <w:sectPr>
          <w:headerReference w:type="even" r:id="rId4"/>
          <w:headerReference w:type="default" r:id="rId5"/>
          <w:footerReference w:type="even" r:id="rId6"/>
          <w:footerReference w:type="default" r:id="rId7"/>
          <w:headerReference w:type="first" r:id="rId8"/>
          <w:footerReference w:type="first" r:id="rId9"/>
          <w:pgSz w:w="11900" w:h="16840"/>
          <w:pgMar w:top="2568" w:right="2566" w:bottom="2568" w:left="2664" w:header="2140" w:footer="2140" w:gutter="0"/>
          <w:pgNumType w:start="3"/>
          <w:cols w:space="720"/>
          <w:bidi/>
          <w:docGrid w:linePitch="360"/>
        </w:sectPr>
      </w:pPr>
      <w:r>
        <w:rPr>
          <w:rStyle w:val="Bodytext1"/>
          <w:rFonts w:ascii="Microsoft Uighur" w:hAnsi="Microsoft Uighur" w:cs="Microsoft Uighur"/>
          <w:b/>
          <w:bCs/>
          <w:sz w:val="24"/>
          <w:szCs w:val="24"/>
          <w:lang w:val="fa-IR" w:eastAsia="fa-IR"/>
        </w:rPr>
        <w:t xml:space="preserve">با اعلام موافقت اصولی هیأت رئیسه اتاق ایران برای تشکیل اتاق مشترک امور حقوقی اتاق بازرگانی و صنایع و معادن ایران اساسنامه اتاق مشترک را بر اساس نمونه پیوست این آیین نامه تهیه و با همکاری امور بین الملل اتاق، تحت نظر رییس اتاق ایران اقدام به تشکیل مجمع عمومی مؤسسین و انتخاب هیأت مدیره و ثبت مصوبات اتاق مشترک خواهد نمود. </w:t>
      </w:r>
    </w:p>
    <w:p>
      <w:pPr>
        <w:pStyle w:val="Bodytext10"/>
        <w:framePr w:wrap="auto"/>
        <w:spacing w:line="39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تعداد مؤسسين حداقل ده شخص اعم از حقیقی یا حقوقی بوده و هیأت مدیره می تواند از میان آنان انتخاب شود. پذیرش متقاضیان عضویت در اتاق مشترک پس از ثبت اتاق شروع خواهد شد. </w:t>
      </w:r>
    </w:p>
    <w:p>
      <w:pPr>
        <w:pStyle w:val="Bodytext10"/>
        <w:framePr w:wrap="auto"/>
        <w:spacing w:after="40" w:line="36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۱۰ مرکز اتاق های مشترک در تهران خواهد بود و عند اللزوم با تأیید اتاق ایران می توانند در داخل یا خارج کشور اقدام به تأسیس شعبه یا نمایندگی نمایند. </w:t>
      </w:r>
    </w:p>
    <w:p>
      <w:pPr>
        <w:pStyle w:val="Bodytext10"/>
        <w:framePr w:wrap="auto"/>
        <w:spacing w:line="39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۱۱ تصویب و اصلاح اساسنامه با انحلال اتاق مشترک منوط به تأیید اتاق ایران خواهد بود.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۱۲ مجامع عمومی اتاق مشترک با اطلاع و نظارت اتاق ایران تشکیل میشوند. نمایندگان امور بین الملل و امور حقوقی اتاق ایران در کلیه این مجامع به عنوان ناظر حضور خواهند داشت و گزارش تصمیمات اتخاذ شده را به اطلاع رئیس اتاق ایران خواهند رساند.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 در امور بین الملل اتاق ایران واحدی تحت عنوان دبیرخانه اتاقهای مشترک تشکیل می شود که نظارت بر عملکرد اتاقهای مشترک و ایجاد هماهنگی بین آنها در ارتباط با تشکیل مجامع عمومی و معرفی نماینده برای حضور در گردهمایی ها را برعهده خواهد داشت. دبیرخانه موظف است گزارش های ۶ ماهه در خصوص فعالیت اتاق ها و پیشرفت ها و مشکلات آنها را تهیه و جهت بررسی و اتخاذ تصمیم به هیأت رئیسه اتاق ایران تقدیم نماید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۱۴ چنانچه عملکرد اتاق مشترک به تشخیص اتاق ایران خلاف اهداف و مواد اساسنامه باشد و تذاکرات اتاق ایران به هیأت مدیره مؤثر واقع نشود، اتاق ایران راساً مجمع عمومی مربوط اعم از عادی یا فوق العاده را برای اصلاح خط مشی اتاقی یا انحلال آن دعوت خواهد کرد. </w:t>
      </w:r>
    </w:p>
    <w:p>
      <w:pPr>
        <w:pStyle w:val="Bodytext10"/>
        <w:framePr w:wrap="auto"/>
        <w:spacing w:after="120"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اساسنامه اتاقهای مشترک مطابق اساسنامه نمونه زیر تهیه خواهد شد. تغییراتی که اساسنامه هر یک از اتاقی های مشترک ممکن است حسب ضرورت پیدا کند، نباید به گونه ای باشد که مواد اصلی اساسنامه نمونه را نقض نماید. تشخیص این امر با اتاق ایران خواهد بود. </w:t>
      </w:r>
    </w:p>
    <w:p>
      <w:pPr>
        <w:pStyle w:val="Bodytext10"/>
        <w:framePr w:wrap="auto"/>
        <w:spacing w:after="40" w:line="240"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اساسنامه اتاق بازرگانی و صنایع و معادن ایران و...... </w:t>
      </w:r>
    </w:p>
    <w:p>
      <w:pPr>
        <w:pStyle w:val="Bodytext10"/>
        <w:framePr w:wrap="auto"/>
        <w:spacing w:after="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اول کلیات </w:t>
      </w:r>
    </w:p>
    <w:p>
      <w:pPr>
        <w:pStyle w:val="Bodytext10"/>
        <w:framePr w:wrap="auto"/>
        <w:spacing w:line="39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 اتاق بازرگانی و صنایع و معادن ایران و... که از این پس در این اساسنامه اتاق مشترک نامیده می شود مؤسسه ای است غیر تجاری و غیر انتفاعی که صرفاً برای توسعه روابط بازرگانی و صنعتی بین ایران و... تأسیس یافته است. </w:t>
      </w:r>
    </w:p>
    <w:p>
      <w:pPr>
        <w:pStyle w:val="Bodytext10"/>
        <w:framePr w:wrap="auto"/>
        <w:spacing w:after="40" w:line="401" w:lineRule="auto"/>
        <w:ind w:firstLine="240"/>
        <w:jc w:val="both"/>
        <w:rPr>
          <w:rFonts w:ascii="Times New Roman" w:hAnsi="Times New Roman" w:cs="Times New Roman"/>
          <w:b w:val="0"/>
          <w:bCs w:val="0"/>
          <w:i w:val="0"/>
          <w:iCs w:val="0"/>
          <w:smallCaps w:val="0"/>
          <w:strike w:val="0"/>
          <w:sz w:val="24"/>
          <w:szCs w:val="24"/>
          <w:u w:val="none"/>
        </w:rPr>
        <w:sectPr>
          <w:headerReference w:type="even" r:id="rId10"/>
          <w:headerReference w:type="default" r:id="rId11"/>
          <w:footerReference w:type="even" r:id="rId12"/>
          <w:footerReference w:type="default" r:id="rId13"/>
          <w:headerReference w:type="first" r:id="rId14"/>
          <w:footerReference w:type="first" r:id="rId15"/>
          <w:pgSz w:w="11900" w:h="16840"/>
          <w:pgMar w:top="2625" w:right="2578" w:bottom="3046" w:left="2693" w:header="2197" w:footer="3" w:gutter="0"/>
          <w:pgNumType w:start="4"/>
          <w:cols w:space="720"/>
          <w:bidi/>
          <w:docGrid w:linePitch="360"/>
        </w:sectPr>
      </w:pPr>
      <w:r>
        <w:rPr>
          <w:rStyle w:val="Bodytext1"/>
          <w:rFonts w:ascii="Microsoft Uighur" w:hAnsi="Microsoft Uighur" w:cs="Microsoft Uighur"/>
          <w:b/>
          <w:bCs/>
          <w:sz w:val="24"/>
          <w:szCs w:val="24"/>
          <w:lang w:val="fa-IR" w:eastAsia="fa-IR"/>
        </w:rPr>
        <w:t xml:space="preserve">۱-۱- اتاق بازرگانی و صنایع و معادن ایران و... با توجه به ماده پنج قانون اتاق بازرگانی و صنایع و معادن جمهوری اسلامی ایران مصوب ۱۳۶۹٫۱۲٫۱۵ با اصلاحات بعدی که از این پس در این اساسنامه اتاق مشترک خوانده می شود وابسته به اتاق ایران است معهذا در قبال اعمال خود دارای مسؤولیت حقوقی و مالی مستقل می باشد. </w:t>
      </w:r>
    </w:p>
    <w:p>
      <w:pPr>
        <w:pStyle w:val="Bodytext10"/>
        <w:framePr w:wrap="auto"/>
        <w:spacing w:line="43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۲۰۱ اتاق مشترک دارای تابعیت ایرانی است و مکاتبات و محاورات آن به زبان فارسی و عند اللزوم به انگلیسی و یا ... خواهد بود.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 مرکز اتاق مشترک در ایران، تهران ...... واقع است هیات مدیره پس از کسب موافقت اتاق ایران اختیار تغییر مرکز اتاق را دارد.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۱-۱- مدت فعالیت اتاق مشترک از تاریخ تشکیل نا محدود است. </w:t>
      </w:r>
    </w:p>
    <w:p>
      <w:pPr>
        <w:pStyle w:val="Bodytext10"/>
        <w:framePr w:wrap="auto"/>
        <w:spacing w:line="43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 اتاق مشترک بر حسب ضرورت و با تصویب مجمع عمومی و تأیید اتاق ایران می تواند شعب و یا نمایندگی هایی در ایران و در کشور .... تأسیس کند. </w:t>
      </w:r>
    </w:p>
    <w:p>
      <w:pPr>
        <w:pStyle w:val="Bodytext10"/>
        <w:framePr w:wrap="auto"/>
        <w:spacing w:line="37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عاده -1 اتاق مشترک دارای مهری به زبان فارسی و.... به نام اتاق بازرگانی و صنایع و معادن ایران و می باشد. </w:t>
      </w:r>
    </w:p>
    <w:p>
      <w:pPr>
        <w:pStyle w:val="Bodytext201"/>
        <w:framePr w:wrap="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sz w:val="20"/>
          <w:szCs w:val="20"/>
          <w:lang w:val="fa-IR" w:eastAsia="fa-IR"/>
        </w:rPr>
        <w:t xml:space="preserve">بخش دوم - اهداف و وظایف </w:t>
      </w:r>
    </w:p>
    <w:p>
      <w:pPr>
        <w:pStyle w:val="Bodytext10"/>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۵ در اجرای اهداف پیش بینی شده در ماده یک این اساسنامه اتاق مشترک به امور زیر مبادرت می ورزد. </w:t>
      </w:r>
    </w:p>
    <w:p>
      <w:pPr>
        <w:pStyle w:val="Bodytext10"/>
        <w:framePr w:wrap="auto"/>
        <w:spacing w:line="42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۵-۱- کوشش در جهت گسترش ارتباط و تحقق دیدگاه های صاحبان صنایع و بازرگانان ایرانی و... در زمینه تجارت، صنعت خدمات کشاورزی معدن و سایر امور مربوطه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۵۲ مطالعه و بررسی بمنظور فراهم آوردن زمینه های لازم برای سرمایه گذاری های صنعتی و بازرگانی و معدنی و کشاورزی در دو کشور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۵-۳- جمع آوری و ارزیابی اطلاعات آماری و سایر مطالب سودمند در مورد مسایل بازرگانی - صنعتی و اقتصادی دو کشور و قرار دادن این اطلاعات در اختیار متقاضیان ایرانی و.... و همکاری با سازمانها و مقامات ایران و... به منظور تشویق و توسعه روابط اقتصادی بین دو کشور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۵۰۰ گسترش مبادله هیأتهای نمایندگی و اقتصادی بین دو کشور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۵۵ انتشار بولتن اطلاعاتی در زمینه توسعه روابط اقتصادی بین ایران و..... حاوی قوانین و مقررات اقتصادی دو کشور و سایر مطالب مورد علاقه مشترک انتشار مجله و کتاب و جزوات و نرم افزار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مشارکت در برپایی و اداره نمایشگاه ها و سایر فعالیتهای مشابه در چهارچوب قوانین مربوط و کمک به مؤسسات سازمانها و اشخاص حقیقی و حقوقی ایرانی و علاقمند به شرکت در نمایشگاه ها و بازارهای مکاره بین المللی که در ایران ..... یا در کشورهای ثالث برگزار می شود. </w:t>
      </w:r>
    </w:p>
    <w:p>
      <w:pPr>
        <w:pStyle w:val="Bodytext10"/>
        <w:framePr w:wrap="auto"/>
        <w:spacing w:line="422"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۵۷ تشکیل و اداره سخنرانی ها گردهمایی ها و همایشها در زمینه توسعه روابط اقتصادی بین دو کشور </w:t>
      </w:r>
    </w:p>
    <w:p>
      <w:pPr>
        <w:pStyle w:val="Bodytext10"/>
        <w:framePr w:wrap="auto"/>
        <w:spacing w:line="422"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۵۰۸ همکاری و تشریک مساعی با اتاقهای مشابه در کشور ...... </w:t>
      </w:r>
    </w:p>
    <w:p>
      <w:pPr>
        <w:pStyle w:val="Bodytext10"/>
        <w:framePr w:wrap="auto"/>
        <w:spacing w:line="422" w:lineRule="auto"/>
        <w:jc w:val="both"/>
        <w:rPr>
          <w:rFonts w:ascii="Times New Roman" w:hAnsi="Times New Roman" w:cs="Times New Roman"/>
          <w:b w:val="0"/>
          <w:bCs w:val="0"/>
          <w:i w:val="0"/>
          <w:iCs w:val="0"/>
          <w:smallCaps w:val="0"/>
          <w:strike w:val="0"/>
          <w:sz w:val="24"/>
          <w:szCs w:val="24"/>
          <w:u w:val="none"/>
        </w:rPr>
        <w:sectPr>
          <w:headerReference w:type="even" r:id="rId16"/>
          <w:headerReference w:type="default" r:id="rId17"/>
          <w:footerReference w:type="even" r:id="rId18"/>
          <w:footerReference w:type="default" r:id="rId19"/>
          <w:headerReference w:type="first" r:id="rId20"/>
          <w:footerReference w:type="first" r:id="rId21"/>
          <w:pgSz w:w="11900" w:h="16840"/>
          <w:pgMar w:top="2614" w:right="2604" w:bottom="2614" w:left="2667" w:header="2186" w:footer="2186" w:gutter="0"/>
          <w:pgNumType w:start="5"/>
          <w:cols w:space="720"/>
          <w:bidi/>
          <w:docGrid w:linePitch="360"/>
        </w:sectPr>
      </w:pPr>
      <w:r>
        <w:rPr>
          <w:rStyle w:val="Bodytext1"/>
          <w:rFonts w:ascii="Microsoft Uighur" w:hAnsi="Microsoft Uighur" w:cs="Microsoft Uighur"/>
          <w:b/>
          <w:bCs/>
          <w:sz w:val="24"/>
          <w:szCs w:val="24"/>
          <w:lang w:val="fa-IR" w:eastAsia="fa-IR"/>
        </w:rPr>
        <w:t xml:space="preserve">۵۹ کوشش در جهت حل اختلافات ناشی از روابط اقتصادی بین اشخاص حقیقی و حقوقی ایران و ... از طريق مصالحه و در صورت عدم توفيق، تشویق طرفین اختلاف به رفع اختلافات از طریق مرکز داوری اتاق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۵-۱۰- اداره امور اتاق نیز با رعایت مقررات این اساسنامه و با همکاری نزدیک با مقامات رسمی، سازمان ها و مؤسسات ایرانی و...... </w:t>
      </w:r>
    </w:p>
    <w:p>
      <w:pPr>
        <w:pStyle w:val="Bodytext10"/>
        <w:framePr w:wrap="auto"/>
        <w:spacing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۵-۱۱- انجام سایر اقداماتی که برای نیل به اهداف فوق ضروری است یا به آنها مربوط باشد. </w:t>
      </w:r>
    </w:p>
    <w:p>
      <w:pPr>
        <w:pStyle w:val="Bodytext20"/>
        <w:framePr w:wrap="auto"/>
        <w:spacing w:after="80" w:line="240" w:lineRule="auto"/>
        <w:ind w:firstLine="22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sz w:val="27"/>
          <w:szCs w:val="27"/>
          <w:lang w:val="fa-IR" w:eastAsia="fa-IR"/>
        </w:rPr>
        <w:t xml:space="preserve">بخش سوم - عضویت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1- اشخاص حقیقی و حقوقی ایرانی و.... که مفاد این اساسنامه را بپذیرند با رعایت ضوابط آیین نامه مربوطه می توانند به عضویت اتاق مشترک در آیند. اعضای ایرانی اتاق مشترک باید قبلاً به عضویت یکی از اتاق های بازرگانی و صنایع و معادن ایران پذیرفته شده باشند.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۶-۱- اشخاص حقیقی و یا حقوقی ایرانی یا.... واجد شرایط عضویت در اتاق مشترک که در ایران مقیم نیستند میتوانند درخواست عضویت غیر مقیم بنمایند. مشروط به اینکه از اتاق ایران مستقر در کشور... یا در صورت فقدان یا عدم دسترسی به این اتاق از یکی از اتاقهای بازرگانی... معرفی نامه اخذ و ارائه نمایند. </w:t>
      </w:r>
    </w:p>
    <w:p>
      <w:pPr>
        <w:pStyle w:val="Bodytext10"/>
        <w:framePr w:wrap="auto"/>
        <w:spacing w:line="34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-۶-۲- اعضای غیر مقیم دارای حق رأی بوده و میتوانند حق رأی خود را در مجامع عمومی کتباً واگذار نمایند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۷ اعضای اتاق مشترک را اعضای عادی بشرح مندرج در ماده (۶) و اعضای افتخاری تشکیل می دهند. </w:t>
      </w:r>
    </w:p>
    <w:p>
      <w:pPr>
        <w:pStyle w:val="Bodytext10"/>
        <w:framePr w:wrap="auto"/>
        <w:spacing w:line="42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۷۱ شخصیت هایی که در تحقق اهداف اتاق و پیشرفت مناسبات اقتصادی ایران و... خدمات فوق العاده ای انجام داده و یا میتوانند در آینده منشاء خدمات ارزنده ای در این مورد باشند به عضویت افتخاری اتاق دعوت می شوند.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اعضای افتخاری بنا به پیشنهاد یکی از اعضای هیأت مدیره و با تصویب هیات مدیره به عضویت پذیرفته می شوند. اعضای افتخاری دارای حق رای نیستند، اما حق اظهار نظر مشورتی دارند و از پرداخت حق عضویت معاف می باشند </w:t>
      </w:r>
    </w:p>
    <w:p>
      <w:pPr>
        <w:pStyle w:val="Bodytext10"/>
        <w:framePr w:wrap="auto"/>
        <w:spacing w:line="44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 کلیه اعضای عادی دارای حقوق و وظایف یکسان هستند و حق عضویت سالانه خود را یکجا پرداخت می کنند.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۹ هر یک از اعضای عادی در کلیه مجامع عمومی یک رأی دارند و در صورت لزوم می توانند نمایندگی یک شخص را برای مشارکت در رأی گیری در مجمع عمومی عهده دار شوند. نماینده مکلف است قبل از رسمیت یافتن جلسه مجمع عمومی معرفینامه معتبر خود را به رئیس هیات مدیره تسلیم نماید تا حق حضور در جلسه را باید </w:t>
      </w:r>
    </w:p>
    <w:p>
      <w:pPr>
        <w:pStyle w:val="Bodytext10"/>
        <w:framePr w:wrap="auto"/>
        <w:spacing w:line="427"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۱۰ جزییات شرایط قبول عضویت در اتاق مشترک طی آیین نامه ای که به تصویب هیات مدیره می رسد، اعلام می شود. </w:t>
      </w:r>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sectPr>
          <w:headerReference w:type="even" r:id="rId22"/>
          <w:headerReference w:type="default" r:id="rId23"/>
          <w:footerReference w:type="even" r:id="rId24"/>
          <w:footerReference w:type="default" r:id="rId25"/>
          <w:headerReference w:type="first" r:id="rId26"/>
          <w:footerReference w:type="first" r:id="rId27"/>
          <w:pgSz w:w="11900" w:h="16840"/>
          <w:pgMar w:top="2614" w:right="2594" w:bottom="2614" w:left="2675" w:header="2186" w:footer="2186" w:gutter="0"/>
          <w:pgNumType w:start="6"/>
          <w:cols w:space="720"/>
          <w:bidi/>
          <w:docGrid w:linePitch="360"/>
        </w:sectPr>
      </w:pPr>
      <w:r>
        <w:rPr>
          <w:rStyle w:val="Bodytext1"/>
          <w:rFonts w:ascii="Microsoft Uighur" w:hAnsi="Microsoft Uighur" w:cs="Microsoft Uighur"/>
          <w:b/>
          <w:bCs/>
          <w:sz w:val="24"/>
          <w:szCs w:val="24"/>
          <w:lang w:val="fa-IR" w:eastAsia="fa-IR"/>
        </w:rPr>
        <w:t xml:space="preserve">ماده ۱۱ جز در صورت کناره گیری از عضویت اتاق مشترک که باید طی نامه کتبی حداقل یک ماه قبل از پایان سالجاری به دبیرخانه اتاق واصل گردد هر عضو موظف به پرداخت حق عضویت سال بعد می باشد.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۱۲- عضویت اتاق مشترک علاوه بر لزوم پرداخت حق عضویت سالانه متضمن قبول کلیه مقررات این اساسنامه و آیین نامه های مربوطه است.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۱۳ هیأت مدیره میتواند در ارتباط با اعضا به علل زیر به عضویت آنها خاتمه دهد.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۱۳-۱- امتناع از عدم پرداخت حق عضویت در موعد مقرر و عدم توجه به دوبار اخطار کتبی اتاق در این زمینه به فاصله ۳۰ روز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۱۳-۲- فوت شخص حقیقی یا انحلال شخص حقوقی عضو اتاق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۱۳۳- عدم رعایت مقررات اساسنامه و مصوبات مجامع عمومی و هیات مدیره و نادیده گرفتن مصالح و شؤون اتاق و عدم توجه به تذکرات هیات مدیره در این مورد.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-۱۳-۴ خاتمه عضویت مجوزی برای استرداد حق عضویت پرداخت شده نمی باشد. </w:t>
      </w:r>
    </w:p>
    <w:p>
      <w:pPr>
        <w:pStyle w:val="Bodytext10"/>
        <w:framePr w:wrap="auto"/>
        <w:spacing w:line="44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۱۳-۵- اتاق ایران عند اللزوم به اختلافات فیمابین متقاضیان عضویت و اعضا با اتاق رسیدگی می کند و نظر برای طرفین لازم الاجرا خواهد بود.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چهارم ارکان </w:t>
      </w:r>
    </w:p>
    <w:p>
      <w:pPr>
        <w:pStyle w:val="Bodytext10"/>
        <w:framePr w:wrap="auto"/>
        <w:spacing w:after="2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١٤- ارکان اتاق عبارتند از : </w:t>
      </w:r>
    </w:p>
    <w:p>
      <w:pPr>
        <w:pStyle w:val="Bodytext10"/>
        <w:framePr w:wrap="auto"/>
        <w:tabs>
          <w:tab w:val="left" w:pos="443"/>
        </w:tabs>
        <w:spacing w:after="160"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مجمع عمومی </w:t>
      </w:r>
    </w:p>
    <w:p>
      <w:pPr>
        <w:pStyle w:val="Bodytext10"/>
        <w:framePr w:wrap="auto"/>
        <w:tabs>
          <w:tab w:val="left" w:pos="449"/>
        </w:tabs>
        <w:spacing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هیات مدیره </w:t>
      </w:r>
    </w:p>
    <w:p>
      <w:pPr>
        <w:pStyle w:val="Bodytext10"/>
        <w:framePr w:wrap="auto"/>
        <w:tabs>
          <w:tab w:val="left" w:pos="449"/>
        </w:tabs>
        <w:spacing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بازرسان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پنجم - مجامع عمومی </w:t>
      </w:r>
    </w:p>
    <w:p>
      <w:pPr>
        <w:pStyle w:val="Bodytext10"/>
        <w:framePr w:wrap="auto"/>
        <w:spacing w:after="6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۱۵ مجمع عمومی اتاق مشترک ممکن است بصورت عادی با فوق العاده تشکیل شود. </w:t>
      </w:r>
    </w:p>
    <w:p>
      <w:pPr>
        <w:pStyle w:val="Bodytext10"/>
        <w:framePr w:wrap="auto"/>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۱۵-۱ مجمع عمومی عادی سالانه حداقل سالی یکبار ظرف مدت چهار ماه پس از پایان سال مالی و در صورت لزوم بطور فوق العاده تشکیل می شود. </w:t>
      </w:r>
    </w:p>
    <w:p>
      <w:pPr>
        <w:pStyle w:val="Bodytext10"/>
        <w:framePr w:wrap="auto"/>
        <w:spacing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۱۵-۲- حداقل ۱۵ روز قبل از تشکیل هر مجمع عمومی دستور جلسه و محل و تاریخ و ساعت تشکیل جلسه مجمع باید کتباً بوسیله پست سفارشی و یا دورنویس به اطلاع اعضای اتاق برسد و مراتب طی همین زمان در روزنامه کثیر الانتشاری که اطلاعیه ها و آگهی های اتاق در آن منتشر می شود چاپ و آگهی شود. </w:t>
      </w:r>
    </w:p>
    <w:p>
      <w:pPr>
        <w:pStyle w:val="Bodytext10"/>
        <w:framePr w:wrap="auto"/>
        <w:spacing w:line="40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۱۵۳ - مجمع عمومی عادی با حضور حداقل نصف بعلاوه یک مجموع اعضای دارنده حق رأی رسمیت می یابد، اگر عده اعضا در جلسه اول کمتر از نصف بعلاوه یک مجموع اعضای دارنده حق رأی باشند و بالنتيجه جلسه مذکور حائز اکثریت نگردد، مجمع عمومی ۱۵ روز بعد با دعوت مجدد با هر تعداد عضو که حضور یابند. رسمیت خواهد داشت. دعوت دوم نیاز به آگهی در روزنامه کثیر الانتشار نخواهد داشت. </w:t>
      </w:r>
    </w:p>
    <w:p>
      <w:pPr>
        <w:pStyle w:val="Bodytext10"/>
        <w:framePr w:wrap="auto"/>
        <w:spacing w:after="60" w:line="403" w:lineRule="auto"/>
        <w:jc w:val="both"/>
        <w:rPr>
          <w:rFonts w:ascii="Times New Roman" w:hAnsi="Times New Roman" w:cs="Times New Roman"/>
          <w:b w:val="0"/>
          <w:bCs w:val="0"/>
          <w:i w:val="0"/>
          <w:iCs w:val="0"/>
          <w:smallCaps w:val="0"/>
          <w:strike w:val="0"/>
          <w:sz w:val="24"/>
          <w:szCs w:val="24"/>
          <w:u w:val="none"/>
        </w:rPr>
        <w:sectPr>
          <w:headerReference w:type="even" r:id="rId28"/>
          <w:headerReference w:type="default" r:id="rId29"/>
          <w:footerReference w:type="even" r:id="rId30"/>
          <w:footerReference w:type="default" r:id="rId31"/>
          <w:headerReference w:type="first" r:id="rId32"/>
          <w:footerReference w:type="first" r:id="rId33"/>
          <w:pgSz w:w="11900" w:h="16840"/>
          <w:pgMar w:top="2620" w:right="2612" w:bottom="2620" w:left="2577" w:header="2192" w:footer="2192" w:gutter="0"/>
          <w:pgNumType w:start="7"/>
          <w:cols w:space="720"/>
          <w:bidi/>
          <w:docGrid w:linePitch="360"/>
        </w:sectPr>
      </w:pPr>
      <w:r>
        <w:rPr>
          <w:rStyle w:val="Bodytext1"/>
          <w:rFonts w:ascii="Microsoft Uighur" w:hAnsi="Microsoft Uighur" w:cs="Microsoft Uighur"/>
          <w:b/>
          <w:bCs/>
          <w:sz w:val="24"/>
          <w:szCs w:val="24"/>
          <w:lang w:val="fa-IR" w:eastAsia="fa-IR"/>
        </w:rPr>
        <w:t xml:space="preserve">۱۵۴ - تصمیمات مجامع عمومی عادی اتاق مشترک با اکثریت نسبی آرای دارنده حق رأی حاضر معتبر و نافذ است. </w:t>
      </w:r>
    </w:p>
    <w:p>
      <w:pPr>
        <w:pStyle w:val="Bodytext10"/>
        <w:framePr w:wrap="auto"/>
        <w:spacing w:line="39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۱۵۵- مجمع عمومی فوق العاده در صورتی رسمیت خواهد داشت که حداقل دو سوم مجموع اعضای دارنده حق رأی اتاق در مجمع حضور داشته باشند و تصمیمات آن در صورتی معتبر خواهد بود که لااقل به تصویب دوسوم اعضای دارنده حق رای حاضر در جلسه برسد. چنانچه در جلسه اول مجمع عمومی فوق العاده حد نصاب لازم حاصل نشود، مجمع عمومی فوق العاده با دعوت مجدد، با حضور هر تعداد از اعضا تشکیل شده و تصمیمات آن با رأی دوسوم اعضا حاضر در جلسه معتبر خواهد بود.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۱۹- وظایف مجمع عمومی عادی </w:t>
      </w:r>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۱۶-۱- استماع و بررسی گزارش هیأت مدیره و گزارش بازرس درباره فعالیتهای اتاق مشترک در سال مالی قبل و بررسی تر از نامه و تصویب آن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۱۶-۲ بررسی بودجه سالانه پیشنهادی و تصویب آن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۱۶۳- انتخاب اعضای هیات مدیره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۱۶۲ انتخاب بازرس اصلی و بازرسی علی البدل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۱۶-۵ تعیین روزنامه کثیر الانتشار برای درج آگهی ها و اطلاعیه های اتاق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۱۶-۶ - بحث و بررسی درباره خط مشی آینده اتاق مشترک و موارد دیگری که در صلاحیت مجمع عمومی عادی است.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۱۷ وظایف مجمع عمومی فوق العاده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۱۷-۱- اصلاح و تغییر اساسنامه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۱۷-۲- اتخاذ تصمیم نسبت به انحلال اتاق مشترک و انتخاب هیأت تصفیه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۱۸- مجامع عمومی عادی و فوق العاده را در هر موقع میتوان بوسیله هیأت مدیره بنا به تصمیم آن هیات یا به درخواست حداقل یک سوم اعضای دارنده حق رأی اتاق مشترک یا به درخواست یا وفق ماده ۳۹ اساسنامه به دعوت رئیس اتاق ایران با بازرس طبق ضوابط این اساسنامه تشکیل داد.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۱۹ نماینده یا نمایندگان اتاق ایران در مجامع عمومی عادی و بدون حق رأی عند اللزوم نظرات مشورتی خود را مطرح خواهد کرد.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۲۰ مجمع عمومی را هیات رییسه ای مرکب از یک رییس و دو ناظر که از میان اعضای حاضر در مجمع انتخاب خواهند شد اداره خواهد کرد یک منشی که میتواند عضو اتاق مشترک نباشد صورت مذاکرات و تصمیمات را تنظیم و به امضای هیأت رییسه و خود خواهد رساند.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۲۱- ثبت مصوبات مجامع عمومی و تصمیمات هیات مدیره اتاق چنانچه نیاز به ثبت داشته باشد، توسط اتاق ایران انجام خواهد شده.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ششم هیات مدیره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sectPr>
          <w:headerReference w:type="even" r:id="rId34"/>
          <w:headerReference w:type="default" r:id="rId35"/>
          <w:footerReference w:type="even" r:id="rId36"/>
          <w:footerReference w:type="default" r:id="rId37"/>
          <w:headerReference w:type="first" r:id="rId38"/>
          <w:footerReference w:type="first" r:id="rId39"/>
          <w:pgSz w:w="11900" w:h="16840"/>
          <w:pgMar w:top="2625" w:right="2594" w:bottom="2625" w:left="2675" w:header="2197" w:footer="2197" w:gutter="0"/>
          <w:pgNumType w:start="8"/>
          <w:cols w:space="720"/>
          <w:bidi/>
          <w:docGrid w:linePitch="360"/>
        </w:sectPr>
      </w:pPr>
      <w:r>
        <w:rPr>
          <w:rStyle w:val="Bodytext1"/>
          <w:rFonts w:ascii="Microsoft Uighur" w:hAnsi="Microsoft Uighur" w:cs="Microsoft Uighur"/>
          <w:b/>
          <w:bCs/>
          <w:sz w:val="24"/>
          <w:szCs w:val="24"/>
          <w:lang w:val="fa-IR" w:eastAsia="fa-IR"/>
        </w:rPr>
        <w:t xml:space="preserve">ماده ۲۲ هیأت مدیره توسط مجمع عمومی عادی برای دو سال انتخاب می گردد. </w:t>
      </w:r>
    </w:p>
    <w:p>
      <w:pPr>
        <w:pStyle w:val="Bodytext10"/>
        <w:framePr w:wrap="auto"/>
        <w:spacing w:line="39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هیأت مدیره مرکب از ۵ تا ۹ عضو است که از بین اعضای اتاق انتخاب می گردند. علاوه بر اعضای اصلی مجمع عمومی دو نفر را بعنوان اعضای علی البدل هیأت مدیره انتخاب و معین خواهد کرد. انتخاب محدد اعضای هیأت مدیره بلامانع است. </w:t>
      </w:r>
    </w:p>
    <w:p>
      <w:pPr>
        <w:pStyle w:val="Bodytext10"/>
        <w:framePr w:wrap="auto"/>
        <w:spacing w:line="37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۲۲-۱- اعضای هیأت مدیره باید دارای اطلاعات و تجربه کافی در زمینه مبادلات و همکاری های بازرگانی ایران و ... باشند. </w:t>
      </w:r>
    </w:p>
    <w:p>
      <w:pPr>
        <w:pStyle w:val="Bodytext10"/>
        <w:framePr w:wrap="auto"/>
        <w:spacing w:line="36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-۲۲-۲- هیات مدیره از بین اعضا یا خارج آن یک مشاور حقوقی مسلط به زبان انگلیسی و قوانین بازرگانی دو کشور خواهد داشت. </w:t>
      </w:r>
    </w:p>
    <w:p>
      <w:pPr>
        <w:pStyle w:val="Bodytext10"/>
        <w:framePr w:wrap="auto"/>
        <w:spacing w:line="39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۲۳ به استثنای اموری که به موجب مفاد صریح این اساسنامه و یا طبق قانون در صلاحیت مجامع عمومی است هیأت مدیره کلیه اختیارات لازم را جهت اداره امور اتاق با حق تفویض آن به یک با چند نفر از اعضای هیات مدیره دارا بوده و در انجام وظایف زیر نیز دارای اختیارات و صلاحیت خاص می باشد. </w:t>
      </w:r>
    </w:p>
    <w:p>
      <w:pPr>
        <w:pStyle w:val="Bodytext10"/>
        <w:framePr w:wrap="auto"/>
        <w:spacing w:line="398"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۲۳-۱ - انتخاب یک نفر بعنوان رئیس هیأت مدیره و دو نفر بعنوان نایب رئیس هیأت مدیره </w:t>
      </w:r>
    </w:p>
    <w:p>
      <w:pPr>
        <w:pStyle w:val="Bodytext10"/>
        <w:framePr w:wrap="auto"/>
        <w:spacing w:line="398"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۲۳-۲ - انتخاب یک نفر خزانه دار از بین اعضای هیات مدیره </w:t>
      </w:r>
    </w:p>
    <w:p>
      <w:pPr>
        <w:pStyle w:val="Bodytext10"/>
        <w:framePr w:wrap="auto"/>
        <w:spacing w:line="398"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۲۳-۳ تعیین دبیر اتاق مشترک </w:t>
      </w:r>
    </w:p>
    <w:p>
      <w:pPr>
        <w:pStyle w:val="Bodytext10"/>
        <w:framePr w:wrap="auto"/>
        <w:spacing w:line="398"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٢-٢٣- قبول اعضای جدید اتاق مشترک و خاتمه دادن به عضویت اعضا با رعایت مفاد اساسنامه </w:t>
      </w:r>
    </w:p>
    <w:p>
      <w:pPr>
        <w:pStyle w:val="Bodytext10"/>
        <w:framePr w:wrap="auto"/>
        <w:spacing w:line="398"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۲۳-۵- تهیه گزارش درباره فعالیتهای اتاق مشترک و تسلیم آن به مجامع عمومی </w:t>
      </w:r>
    </w:p>
    <w:p>
      <w:pPr>
        <w:pStyle w:val="Bodytext10"/>
        <w:framePr w:wrap="auto"/>
        <w:spacing w:line="398"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۲۳۶ تعیین اعضای دبیرخانه و وظایف و حقوق آنان طبق پیشنهاد دبیر </w:t>
      </w:r>
    </w:p>
    <w:p>
      <w:pPr>
        <w:pStyle w:val="Bodytext10"/>
        <w:framePr w:wrap="auto"/>
        <w:spacing w:line="39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۲۳-۷- تهیه ترازنامه و برآورد بودجه سالیانه و پیشنهاد آن به مجمع عمومی اتاق همراه گزارش حسابرسی بازرس که باید حداقل یک هفته قبل از تشکیل مجمع در دسترس اعضای اتاق قرار گیرد. </w:t>
      </w:r>
    </w:p>
    <w:p>
      <w:pPr>
        <w:pStyle w:val="Bodytext10"/>
        <w:framePr w:wrap="auto"/>
        <w:spacing w:line="39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 تعیین کمیسیونهای مورد احتیاج اتاق مشترک و انتخاب اعضای هر یک و تعیین وظایف اختیارات هر کمیسیون و انتخاب مشاوران بر حسب ضرورت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۲۳۰۹ طرح هر گونه دعوی اعم از حقوقی و کیفری در مراجع دیصلاح قضایی، دفاع و پاسخگویی به هر گونه دعوی علیه اتاق مشترک در کلیه مراحل رسیدگی و با اختیار نام مستقلاً با از طریق انتخاب وکیل و یا وکلای دادگستری با حق تفویض تمام و یا قسمتی از اختیارات مطروحه در مواد ۶۲ و ۶۳ قانون آیین دادرسی مدنی به وکلای منتخب و عند اللزوم عزل وکلای موصوف و ارجاع امور حکمیت به اتاق ایران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۲۳-۱۰- افتتاح هر نوع حساب بانکی اعم از جاری و پس انداز و ثابت در بانک ها و عند اللزوم احد تسهیلات بانکی و عقد قراردادها </w:t>
      </w:r>
    </w:p>
    <w:p>
      <w:pPr>
        <w:pStyle w:val="Bodytext10"/>
        <w:framePr w:wrap="auto"/>
        <w:spacing w:line="396"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۲۳-۱۱ دریافت اعتبار و قبول کمک های بلاعوض </w:t>
      </w:r>
    </w:p>
    <w:p>
      <w:pPr>
        <w:pStyle w:val="Bodytext10"/>
        <w:framePr w:wrap="auto"/>
        <w:spacing w:line="396" w:lineRule="auto"/>
        <w:ind w:firstLine="200"/>
        <w:jc w:val="both"/>
        <w:rPr>
          <w:rFonts w:ascii="Times New Roman" w:hAnsi="Times New Roman" w:cs="Times New Roman"/>
          <w:b w:val="0"/>
          <w:bCs w:val="0"/>
          <w:i w:val="0"/>
          <w:iCs w:val="0"/>
          <w:smallCaps w:val="0"/>
          <w:strike w:val="0"/>
          <w:sz w:val="24"/>
          <w:szCs w:val="24"/>
          <w:u w:val="none"/>
        </w:rPr>
        <w:sectPr>
          <w:headerReference w:type="even" r:id="rId40"/>
          <w:headerReference w:type="default" r:id="rId41"/>
          <w:footerReference w:type="even" r:id="rId42"/>
          <w:footerReference w:type="default" r:id="rId43"/>
          <w:headerReference w:type="first" r:id="rId44"/>
          <w:footerReference w:type="first" r:id="rId45"/>
          <w:pgSz w:w="11900" w:h="16840"/>
          <w:pgMar w:top="2614" w:right="2578" w:bottom="2614" w:left="2687" w:header="2186" w:footer="2186" w:gutter="0"/>
          <w:pgNumType w:start="9"/>
          <w:cols w:space="720"/>
          <w:bidi/>
          <w:docGrid w:linePitch="360"/>
        </w:sectPr>
      </w:pPr>
      <w:r>
        <w:rPr>
          <w:rStyle w:val="Bodytext1"/>
          <w:rFonts w:ascii="Microsoft Uighur" w:hAnsi="Microsoft Uighur" w:cs="Microsoft Uighur"/>
          <w:b/>
          <w:bCs/>
          <w:sz w:val="24"/>
          <w:szCs w:val="24"/>
          <w:lang w:val="fa-IR" w:eastAsia="fa-IR"/>
        </w:rPr>
        <w:t xml:space="preserve">۱۲ ۲۳ تعیین و تصویب حق عضویت سالانه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۲۳-۱۳- کلیه نامه های صادره از طرف اتاق مشترک باید به امضای رییس هیات مدیره برسد. مگر در مواردی که حق امضای خود را به یکی دیگر از اعضای هیأت مدیره یا دبیر تفویض نموده باشد.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٢٤ در صورتیکه یک با چند نفر از اعضای هیأت مدیره استعفا و یا فوت نمایند یا چنانچه قادر به انجام وظایف خود نباشند، جانشین آنها از میان اعضای علی البدل در هیأت مدیره تعیین و برای سمت اعضا مجدداً در هیات مدیره رای گیری بعمل خواهد آمد. </w:t>
      </w:r>
    </w:p>
    <w:p>
      <w:pPr>
        <w:pStyle w:val="Bodytext10"/>
        <w:framePr w:wrap="auto"/>
        <w:spacing w:line="396"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۲۵ جلسات هیأت مدیره حداقل یکبار در ماه طبق دعوت کتبی رئیس هیات مدیره تشکیل می شود. </w:t>
      </w:r>
    </w:p>
    <w:p>
      <w:pPr>
        <w:pStyle w:val="Bodytext10"/>
        <w:framePr w:wrap="auto"/>
        <w:spacing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۲۶ جلسات هیأت مدیره با حضور اکثریت اعضا رسمیت خواهد داشت و تصمیمات با اکثریت آراء حاضران اتخاذ می شود. در صورت تساوی آراء نظر طرفی که رای رییس هیأت مدیره را دارد، ملاک عمل قرار خواهد گرفت. </w:t>
      </w:r>
    </w:p>
    <w:p>
      <w:pPr>
        <w:pStyle w:val="Bodytext10"/>
        <w:framePr w:wrap="auto"/>
        <w:spacing w:after="280" w:line="396"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۲۷ خزانه دار اتاق مشترک برای مدت دو سال انتخاب میشود و وظیفه او نظارت بر نگهداری و اداره دارایی ها و امور مالی اتاق و سرپرستی کلیه عملیات حسابداری خواهد بود که از طرف هیأت مدیره در این مورد اقدام خواهد نمود. خزانه دار در تاریخی که هر سال تعیین میشود طرح اولیه بودجه پیشنهادی سال بعد را تهیه و به هیأت مدیره تسلیم می کند. و در فواصلی که هیأت مدیره تعیین می نماید و گزارشی از وضع مالی اتاق تهیه و در اختیار هیأت مدیره قرار خواهد داد. </w:t>
      </w:r>
    </w:p>
    <w:p>
      <w:pPr>
        <w:pStyle w:val="Bodytext201"/>
        <w:framePr w:wrap="auto"/>
        <w:spacing w:after="60" w:line="240" w:lineRule="auto"/>
        <w:ind w:firstLine="200"/>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sz w:val="20"/>
          <w:szCs w:val="20"/>
          <w:lang w:val="fa-IR" w:eastAsia="fa-IR"/>
        </w:rPr>
        <w:t xml:space="preserve">بخش هفتم - بازرسان </w:t>
      </w:r>
    </w:p>
    <w:p>
      <w:pPr>
        <w:pStyle w:val="Bodytext10"/>
        <w:framePr w:wrap="auto"/>
        <w:spacing w:line="39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۲۸ مجمع عمومی عادی سالانه برای هر سال مالی یکنفر را بعنوان بازرس اصلی و یکنفر را بعنوان بازرس على البدل انتخاب می نماید. بازرس اتاق گزارش خود را در رابطه با اقدامات و عملیات مالی اتاق مشترک، حداکثر سی روز بعد از پایان سال مالی جهت طرح و تصویب در مجمع عمومی عادی سالانه به هیأت مدیره تسلیم می کند. </w:t>
      </w:r>
    </w:p>
    <w:p>
      <w:pPr>
        <w:pStyle w:val="Bodytext10"/>
        <w:framePr w:wrap="auto"/>
        <w:spacing w:after="6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هشتم آیین نامه ها </w:t>
      </w:r>
    </w:p>
    <w:p>
      <w:pPr>
        <w:pStyle w:val="Bodytext10"/>
        <w:framePr w:wrap="auto"/>
        <w:spacing w:line="403"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۲۹ آیین نامه های اتاق مشترک در ارتباط با امور مالی اداری انتخابات و غیره توسط کمیسیون های اتاق مشترک تنظیم و پیشنهاد میشوند و پس از تصویب هیأت مدیره قابل اجراء می باشند. در صورتی که کمیسیونهای مربوط به هر دلیل تشکیل نیایند، هیات مدیره راساً اقدام به این امر خواهد نمود. </w:t>
      </w:r>
    </w:p>
    <w:p>
      <w:pPr>
        <w:pStyle w:val="Bodytext10"/>
        <w:framePr w:wrap="auto"/>
        <w:spacing w:after="6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نهم - اصلاح اساسنامه </w:t>
      </w:r>
    </w:p>
    <w:p>
      <w:pPr>
        <w:pStyle w:val="Bodytext10"/>
        <w:framePr w:wrap="auto"/>
        <w:spacing w:line="427"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۳۰ هیأت مدیره پیشنهادهای مربوط به اصلاح اساسنامه را بررسی میکند و پس از اخذ موافقت الناق ایران جهت تصمیم گیری در مجمع عمومی فوق العاده مطرح می نماید. </w:t>
      </w:r>
    </w:p>
    <w:p>
      <w:pPr>
        <w:pStyle w:val="Bodytext10"/>
        <w:framePr w:wrap="auto"/>
        <w:spacing w:after="6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دهم دبیرخانه </w:t>
      </w:r>
    </w:p>
    <w:p>
      <w:pPr>
        <w:pStyle w:val="Bodytext10"/>
        <w:framePr w:wrap="auto"/>
        <w:spacing w:after="60" w:line="398" w:lineRule="auto"/>
        <w:ind w:firstLine="240"/>
        <w:jc w:val="both"/>
        <w:rPr>
          <w:rFonts w:ascii="Times New Roman" w:hAnsi="Times New Roman" w:cs="Times New Roman"/>
          <w:b w:val="0"/>
          <w:bCs w:val="0"/>
          <w:i w:val="0"/>
          <w:iCs w:val="0"/>
          <w:smallCaps w:val="0"/>
          <w:strike w:val="0"/>
          <w:sz w:val="24"/>
          <w:szCs w:val="24"/>
          <w:u w:val="none"/>
        </w:rPr>
        <w:sectPr>
          <w:headerReference w:type="even" r:id="rId46"/>
          <w:headerReference w:type="default" r:id="rId47"/>
          <w:footerReference w:type="even" r:id="rId48"/>
          <w:footerReference w:type="default" r:id="rId49"/>
          <w:headerReference w:type="first" r:id="rId50"/>
          <w:footerReference w:type="first" r:id="rId51"/>
          <w:pgSz w:w="11900" w:h="16840"/>
          <w:pgMar w:top="2614" w:right="2566" w:bottom="2614" w:left="2658" w:header="2186" w:footer="2186" w:gutter="0"/>
          <w:pgNumType w:start="10"/>
          <w:cols w:space="720"/>
          <w:bidi/>
          <w:docGrid w:linePitch="360"/>
        </w:sectPr>
      </w:pPr>
      <w:r>
        <w:rPr>
          <w:rStyle w:val="Bodytext1"/>
          <w:rFonts w:ascii="Microsoft Uighur" w:hAnsi="Microsoft Uighur" w:cs="Microsoft Uighur"/>
          <w:b/>
          <w:bCs/>
          <w:sz w:val="24"/>
          <w:szCs w:val="24"/>
          <w:lang w:val="fa-IR" w:eastAsia="fa-IR"/>
        </w:rPr>
        <w:t xml:space="preserve">ماده ۳۱ دبیرخانه اتاق مشترک عهده دار امور اداری و مجری مصوبات هیأت مدیره است و سرپرستی آنرا دبیر بر عهده دارد. کلیه مکاتبات اتاق مشترک از طریق دبیرخانه بعمل می آید. دبیر باید حتی الامکان دارای تحصیلات دانشگاهی بوده و ضمن تسلط بر زبان انگلیسی از تجربه و سابقه کافی در زمینه مدیریت برخوردار </w:t>
      </w:r>
    </w:p>
    <w:p>
      <w:pPr>
        <w:pStyle w:val="Bodytext10"/>
        <w:framePr w:wrap="auto"/>
        <w:spacing w:line="398"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باشد. دبیر بصورت تمام وقت و بطور موظف انجام وظیفه می کند و مکلف است مساعی خود را منحصراً در جهت تأمین اهداف و حفظ منافع اعضای اتاق مشترک معطوف نماید. حقوق و مزایای وی به پیشنهاد رئیس و تصویب هیات مدیره تعیین میگردد. هیأت مدیره همچنین شرح وظایف دبیر را تعیین و به ایشان ابلاغ می نماید.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۳۲ دبیر در موارد زیر اقدام می کند . </w:t>
      </w:r>
    </w:p>
    <w:p>
      <w:pPr>
        <w:pStyle w:val="Bodytext10"/>
        <w:framePr w:wrap="auto"/>
        <w:spacing w:after="1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۳۲-۱- تشکیل دبیرخانه و اداره امور آن بر اساس مصوبات هیأت مدیره </w:t>
      </w:r>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۳۲۲- استخدام و اخراج کارکنان در دبیرخانه با تأیید هیأت مدیره </w:t>
      </w:r>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۳۲۳ انجام وظیفه بعنوان دبیر در جلسه هیات مدیره و تهیه صورتجلسات مربوطه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۳۲-۴- تهیه گزارشهای لازم برای هیات مدیره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یازدهم - منابع مالی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۳۳ اتاق مشترک برای انجام وظایف مربوطه هزینه های خود را از منابع زیر تأمین می کند : </w:t>
      </w:r>
    </w:p>
    <w:p>
      <w:pPr>
        <w:pStyle w:val="Heading110"/>
        <w:keepNext/>
        <w:keepLines/>
        <w:framePr w:wrap="auto"/>
        <w:spacing w:after="12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۳۳-۱ حق عضویت سالانه اعضای عادی حقیقی و حقوقی </w:t>
      </w:r>
      <w:bookmarkStart w:id="0" w:name="bookmark0"/>
      <w:bookmarkEnd w:id="0"/>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 دریافت اعتبار و قبول کمک های بلاعوض </w:t>
      </w:r>
    </w:p>
    <w:p>
      <w:pPr>
        <w:pStyle w:val="Bodytext10"/>
        <w:framePr w:wrap="auto"/>
        <w:spacing w:line="40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وجوهی که بابت ارائه خدمات دریافت می دارد.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-۳۳-۲- کمک های اتاق بازرگانی و صنایع و معادن ایران </w:t>
      </w:r>
    </w:p>
    <w:p>
      <w:pPr>
        <w:pStyle w:val="Heading110"/>
        <w:keepNext/>
        <w:keepLines/>
        <w:framePr w:wrap="auto"/>
        <w:spacing w:after="6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بخش دوازدهم بررسی حساب ها و استاد </w:t>
      </w:r>
      <w:bookmarkStart w:id="1" w:name="bookmark2"/>
      <w:bookmarkEnd w:id="1"/>
    </w:p>
    <w:p>
      <w:pPr>
        <w:pStyle w:val="Bodytext10"/>
        <w:framePr w:wrap="auto"/>
        <w:spacing w:line="40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٣٤ سال مالی اتاق مشترک یک دوره دوازده ماهه است که اول فروردین هر سال شروع و پایان اسفند ماه همان سال خاتمه می یابد. اولین سال مالی از تاریخ تشکیل اتاق شروع و در پایان اسفند همان سال خاتمه می پذیرد. </w:t>
      </w:r>
    </w:p>
    <w:p>
      <w:pPr>
        <w:pStyle w:val="Bodytext10"/>
        <w:framePr w:wrap="auto"/>
        <w:spacing w:line="40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۳۵ کلیه چک ها استاد مالی و تعهد آور و قراردادهای اتاق مشترک در صورتی معتبر است که توسط یکی از نواب رئیس هیأت مدیره و خزانه دارا مضا شده باشد و به مهر اتاق مشترک نیز ممهور گردد.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بخش سیزدهم خاتمه فعالیت و انحلال </w:t>
      </w:r>
    </w:p>
    <w:p>
      <w:pPr>
        <w:pStyle w:val="Bodytext10"/>
        <w:framePr w:wrap="auto"/>
        <w:spacing w:line="40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۳۶ فعالیت اتاق مشترک بنا به تصمیم مجمع عمومی فوق العاده و موافقت اتاق ایران خاتمه می یابد و انحلال آن اعلام می گردد. </w:t>
      </w:r>
    </w:p>
    <w:p>
      <w:pPr>
        <w:pStyle w:val="Bodytext10"/>
        <w:framePr w:wrap="auto"/>
        <w:spacing w:line="40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۳۷ با اتخاذ تصمیم درباره انحلال مجمع عمومی فوق العاده هیأتی مرکب از دو عضو هیأت مدیره اتاق مشترک و یک عضو ناظر از اتاق ایران انتخاب و به آنان مأموریت خواهد داد که به تصفیه امور اتاق مشترک بپردازند. هر گونه مازاد دارایی که ممکن است پس از تصفیه دیون و مطالبات باقی بماند، در اختیار اتاق ایران قرار خواهد گرفت. </w:t>
      </w:r>
    </w:p>
    <w:p>
      <w:pPr>
        <w:pStyle w:val="Heading110"/>
        <w:keepNext/>
        <w:keepLines/>
        <w:framePr w:wrap="auto"/>
        <w:spacing w:after="6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بخش چهاردهم - متفرقه </w:t>
      </w:r>
      <w:bookmarkStart w:id="2" w:name="bookmark4"/>
      <w:bookmarkEnd w:id="2"/>
    </w:p>
    <w:p>
      <w:pPr>
        <w:pStyle w:val="Bodytext10"/>
        <w:framePr w:wrap="auto"/>
        <w:spacing w:after="60" w:line="420" w:lineRule="auto"/>
        <w:ind w:firstLine="240"/>
        <w:jc w:val="both"/>
        <w:rPr>
          <w:rFonts w:ascii="Times New Roman" w:hAnsi="Times New Roman" w:cs="Times New Roman"/>
          <w:b w:val="0"/>
          <w:bCs w:val="0"/>
          <w:i w:val="0"/>
          <w:iCs w:val="0"/>
          <w:smallCaps w:val="0"/>
          <w:strike w:val="0"/>
          <w:sz w:val="24"/>
          <w:szCs w:val="24"/>
          <w:u w:val="none"/>
        </w:rPr>
        <w:sectPr>
          <w:headerReference w:type="even" r:id="rId52"/>
          <w:headerReference w:type="default" r:id="rId53"/>
          <w:footerReference w:type="even" r:id="rId54"/>
          <w:footerReference w:type="default" r:id="rId55"/>
          <w:headerReference w:type="first" r:id="rId56"/>
          <w:footerReference w:type="first" r:id="rId57"/>
          <w:pgSz w:w="11900" w:h="16840"/>
          <w:pgMar w:top="2625" w:right="2594" w:bottom="3011" w:left="2652" w:header="2197" w:footer="3" w:gutter="0"/>
          <w:pgNumType w:start="11"/>
          <w:cols w:space="720"/>
          <w:bidi/>
          <w:docGrid w:linePitch="360"/>
        </w:sectPr>
      </w:pPr>
      <w:r>
        <w:rPr>
          <w:rStyle w:val="Bodytext1"/>
          <w:rFonts w:ascii="Microsoft Uighur" w:hAnsi="Microsoft Uighur" w:cs="Microsoft Uighur"/>
          <w:b/>
          <w:bCs/>
          <w:sz w:val="24"/>
          <w:szCs w:val="24"/>
          <w:lang w:val="fa-IR" w:eastAsia="fa-IR"/>
        </w:rPr>
        <w:t xml:space="preserve">ماده ۳۸ چنانچه برخی از مفاد این اساسنامه نیاز به تفسیر داشته باشد، این امر توسط اتاق ایران صورت می پذیرد و نظر اتاق ایران لازم الاتباع است. </w:t>
      </w:r>
    </w:p>
    <w:p>
      <w:pPr>
        <w:pStyle w:val="Bodytext10"/>
        <w:framePr w:wrap="auto"/>
        <w:spacing w:line="391"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۳۹ چنانچه عملکرد اتاق مشترک به تشخیص اتاق ایران خلاف اهداف و مواد اساسنامه باشد و تذکرات اتاق ایران به هیأت مدیره مؤثر واقع نشود، اتاق ایران راساً مجمع عمومی مربوط اعم از عادی یا فوق العاده را برای اصلاح خط مشی اتاق با انحلال آن دعوت خواهد کرد. </w:t>
      </w:r>
    </w:p>
    <w:p>
      <w:pPr>
        <w:pStyle w:val="Bodytext10"/>
        <w:framePr w:wrap="auto"/>
        <w:spacing w:after="500" w:line="391"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مفاد این اساسنامه از تاریخ تصویب شورای عالی نظارت بر اتاق بازرگانی و صنایع و معادن ایران لازم الاجراء بوده و اتاقهای مشترک که قبلاً تشکیل گردیده اند. مکلفند ظرف مدت شش ماهه با نظر واحد حقوقی اتاق بازرگانی و صنایع و معادن ایران اساسنامه قبلی را با این اساسنامه تطبیق داده و موارد مربوطه را اصلاح نمایند. </w:t>
      </w:r>
    </w:p>
    <w:p>
      <w:pPr>
        <w:pStyle w:val="Bodytext10"/>
        <w:framePr w:wrap="auto"/>
        <w:spacing w:after="200" w:line="379"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nan آیین نامه تأسیس و توسعه تشکلهای اقتصادی مصوب ۱۳۸۰٫۱۲٫۱۴ شورای عالی نظارت </w:t>
      </w:r>
    </w:p>
    <w:p>
      <w:pPr>
        <w:pStyle w:val="Bodytext10"/>
        <w:framePr w:wrap="auto"/>
        <w:spacing w:after="80" w:line="240" w:lineRule="auto"/>
        <w:ind w:firstLine="260"/>
        <w:jc w:val="both"/>
        <w:rPr>
          <w:rFonts w:ascii="Times New Roman" w:hAnsi="Times New Roman" w:cs="Times New Roman"/>
          <w:b w:val="0"/>
          <w:bCs w:val="0"/>
          <w:i w:val="0"/>
          <w:iCs w:val="0"/>
          <w:smallCaps w:val="0"/>
          <w:strike w:val="0"/>
          <w:sz w:val="24"/>
          <w:szCs w:val="24"/>
          <w:u w:val="none"/>
        </w:rPr>
      </w:pPr>
      <w:r>
        <w:rPr>
          <w:rStyle w:val="Bodytext1"/>
          <w:lang w:val="fa-IR" w:eastAsia="fa-IR"/>
        </w:rPr>
        <w:t>مقدمه</w:t>
      </w:r>
    </w:p>
    <w:p>
      <w:pPr>
        <w:pStyle w:val="Bodytext10"/>
        <w:framePr w:wrap="auto"/>
        <w:spacing w:line="398"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وجود روابط منطقی و مناسب بین نیروهای مردمی جامعه از یکسو و دولت و سازمانهای وابسته به آن لازمه توسعه و پیشرفت آن جامعه است به هر میزان که مردم درک صحیحی از این روابط نداشته باشند دست یابی به اهداف توسعه مشکل تر خواهد بود که متأسفانه این مشکل و خلاء بسیاری از کشورهای جهان سوم را رنج می دهد و جایگاه تشکل ها در پرکردن این خلاء غیر قابل انکار است و با استفاده از روحیه اجتماعی بودن انسان با تصمیم گیری صحیح زمینه بسط و گسترش روابط فعال اجتماعی را برای نیل به اهداف عالیه فراهم می کند و در حوزه های مختلف فرهنگی، سیاسی، اقتصادی با هدف بقاء و دفاع از منافع مشروع اعضا در یک هماهنگی عقلانی با منافع کلان جامعه فعالیت نماید در حوزه اقتصاد نقش تشکل ها در ابعاد مهمی چون کمک به فرهنگی سازی مناسب تنظیم ساز و کارهای بازار برای بقاء و تکامل اعضایش ایجاد رقابت سالم بین اعضا از طریق افزایش کیفیت و بهره وری و بالا بردن کارآیی حائز اهمیت است فلذا به ضرورت این مهم می پردازیم . </w:t>
      </w:r>
    </w:p>
    <w:p>
      <w:pPr>
        <w:pStyle w:val="Bodytext10"/>
        <w:framePr w:wrap="auto"/>
        <w:spacing w:after="80" w:line="240"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ضرورت تشکل های اقتصادی </w:t>
      </w:r>
    </w:p>
    <w:p>
      <w:pPr>
        <w:pStyle w:val="Bodytext10"/>
        <w:framePr w:wrap="auto"/>
        <w:spacing w:line="408"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اقتصادی با هدف ایجاد همگرایی حرفه ای بین بنگاه های اقتصادی در حوزه فعالیت های مشترک مانند تولید فن آوری و بازار تشکیل میشود. به عبارت دیگر تشکلهای اقتصادی محل حضور و تجمع اعضا به منظور اطلاع از مسایل و مشکلات یکدیگر و تبادل نظر آنها برای یافتن راهکارهای مناسب عملی برای حل و فصل مشکلات توسعه فعالیتها تنظیم روابط میان واحدهای عضو در حیطه ملی و بین المللی و تدوین استراتژی های تولیدی بازرگانی و خدماتی است. </w:t>
      </w:r>
    </w:p>
    <w:p>
      <w:pPr>
        <w:pStyle w:val="Bodytext10"/>
        <w:framePr w:wrap="auto"/>
        <w:spacing w:after="140" w:line="396" w:lineRule="auto"/>
        <w:ind w:firstLine="280"/>
        <w:jc w:val="both"/>
        <w:rPr>
          <w:rFonts w:ascii="Times New Roman" w:hAnsi="Times New Roman" w:cs="Times New Roman"/>
          <w:b w:val="0"/>
          <w:bCs w:val="0"/>
          <w:i w:val="0"/>
          <w:iCs w:val="0"/>
          <w:smallCaps w:val="0"/>
          <w:strike w:val="0"/>
          <w:sz w:val="24"/>
          <w:szCs w:val="24"/>
          <w:u w:val="none"/>
        </w:rPr>
        <w:sectPr>
          <w:headerReference w:type="even" r:id="rId58"/>
          <w:headerReference w:type="default" r:id="rId59"/>
          <w:footerReference w:type="even" r:id="rId60"/>
          <w:footerReference w:type="default" r:id="rId61"/>
          <w:headerReference w:type="first" r:id="rId62"/>
          <w:footerReference w:type="first" r:id="rId63"/>
          <w:pgSz w:w="11900" w:h="16840"/>
          <w:pgMar w:top="2620" w:right="2546" w:bottom="2620" w:left="2661" w:header="2192" w:footer="2192" w:gutter="0"/>
          <w:pgNumType w:start="12"/>
          <w:cols w:space="720"/>
          <w:bidi/>
          <w:docGrid w:linePitch="360"/>
        </w:sectPr>
      </w:pPr>
      <w:r>
        <w:rPr>
          <w:rStyle w:val="Bodytext1"/>
          <w:rFonts w:ascii="Microsoft Uighur" w:hAnsi="Microsoft Uighur" w:cs="Microsoft Uighur"/>
          <w:b/>
          <w:bCs/>
          <w:sz w:val="24"/>
          <w:szCs w:val="24"/>
          <w:lang w:val="fa-IR" w:eastAsia="fa-IR"/>
        </w:rPr>
        <w:t xml:space="preserve">در میان علل مختلفی که میتواند عدم ایجاد تشکلهای اقتصادی و ضعف عملکرد تشکل های موجود را نشان دهد و بی ارتباط با برخی از ضعف های خود دست اندرکاران بخش خصوصی نیز نیست. مهمترین ضرورت وجود تشکلهای اقتصادی در ایران را باید در ارتباط میان بنگاههای اقتصادی و دولت جستجو کرد. ارتباطی که مبتنی بر مبادله منطقی " امنیت مالیات " میان این دو است. اگر چه در بسیاری از ادوار ارتباط سالم و منطقی میان دولت و بنگاه های اقتصادی وجود نداشته و این مربوط به دورهایی می شود که دولت قدرت </w:t>
      </w:r>
    </w:p>
    <w:p>
      <w:pPr>
        <w:pStyle w:val="Bodytext10"/>
        <w:framePr w:wrap="auto"/>
        <w:spacing w:line="39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اقتصادی را در دست داشته و بنگاه ها برای برخورداری از حداقل خدمات دولت چاره ای جز تبعیت و پذیرش محض قوانین دستور العملها و بخشنامه های دولت نداشتند. به همین دلیل مدیران این بنگاه ها مدرن نتوانستند به تصویر صحیح از نقش خود در جامعه و دولت دست پیدا کنند و در این شرایط روز به روز بر پیکره ناکار آمد. دولت افزوده شد و امروز ما مواجه با مشکلات ناشی از آن روابط غیر منطقی هستیم از این رو شاید ایجاد و توسعه صحیح تشکلهای اقتصادی به منظور تبدیل روابط گذشته بتواند منجر به شکل گیری رابطه جدید میان دولت و بنگاه های اقتصادی شود و از این جهت با اقبال عمومی مواجه شده و در برنامه سوم توسعه اقتصادی اجتماعی و فرهنگی به توسعه تشکلها و تقویت نهادهای مدنی در اداره امور و زمینه سازی توسعه اقتصادی اجتماعی و فرهنگی توجه شده است.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با توجه به مراتب یاد شده ضرورت وجودی تشکلهای اقتصادی ناشی از دلایل ذیل است : </w:t>
      </w:r>
    </w:p>
    <w:p>
      <w:pPr>
        <w:pStyle w:val="Bodytext10"/>
        <w:framePr w:wrap="auto"/>
        <w:spacing w:line="40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اجرای بند ۸ اصل سوم و اصل بیست و ششم قانون اساسی جمهوری اسلامی ایران مواد (۱) و (۲) قانون برنامه سوم توسعه اقتصادی، اجتماعی و فرهنگی جمهوری اسلامی ایران و بند (که) ماده (۵) قانون تشکیل اتاق بازرگانی و صنایع و معادن جمهوری اسلامی ایران </w:t>
      </w:r>
    </w:p>
    <w:p>
      <w:pPr>
        <w:pStyle w:val="Bodytext10"/>
        <w:framePr w:wrap="auto"/>
        <w:spacing w:line="403"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وظیفه دولت عملاً به آن دسته از اعمالی بر می گردد که مربوط به اعمال حاکمیت است و در امور مربوط به اعمال تصدی تا سر حد امکان از دخالت خود که منجر به گسترش بی حد دستگاه های دولتی می شود. خودداری مینماید از این جهت تشکلهای میتوانند با آگاهی از ضرورت ها دولت را در این مهم بازی نمایند. </w:t>
      </w:r>
    </w:p>
    <w:p>
      <w:pPr>
        <w:pStyle w:val="Bodytext10"/>
        <w:framePr w:wrap="auto"/>
        <w:spacing w:line="403"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ضرورت دیگر تشکل ها ناشی از ارتباطی است که بین آنها و جامعه وجود دارد. یک تشکل اقتصادی از طرف نهادهای خود مدام تحت تأثیر خواست عمومی جامعه قرار دارد. این تأثیر پذیری می تواند منجر به نظم جدید در فعالیت اعضا شود که تنها متکی به تحکم نباشد بلکه متکی به اقناع و نظم فرهنگی ناشی از آن باشد. </w:t>
      </w:r>
    </w:p>
    <w:p>
      <w:pPr>
        <w:pStyle w:val="Bodytext10"/>
        <w:framePr w:wrap="auto"/>
        <w:spacing w:after="280" w:line="403"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تنظیم روابط بین اعضا با هدف دستیابی به منافع دراز مدت مجموعه ضرورت دیگر یک تشکل اقتصادی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سازماندهی و اداره تشکلهای اقتصادی </w:t>
      </w:r>
    </w:p>
    <w:p>
      <w:pPr>
        <w:pStyle w:val="Bodytext10"/>
        <w:framePr w:wrap="auto"/>
        <w:spacing w:line="427"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های اقتصادی در سه سطح شهرستان استان و کشور فعالیت می کنند، بگونه ای که هر تشکل در هر سطحی با شخصیت حقوقی مستقل و با مجوز اتاق بازرگانی و صنایع و معادن ایران تشکیل می گردد. </w:t>
      </w:r>
    </w:p>
    <w:p>
      <w:pPr>
        <w:pStyle w:val="Bodytext10"/>
        <w:framePr w:wrap="auto"/>
        <w:spacing w:line="401"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تشکیل تشکل های سه سطح بدین نحو است که تشکلهای شهرستان با توافق چند بنگاه اقتصادی با فعالیت همگن در موضوعات مشترک مانند تولید صادرات واردات و خدمات در زمینه های صنعتی، معدنی کشاورزی بازرگانی و خدمات تشکیل می گردد و تشکلهای استانی نیز با توافق چند تشکل شهرستانی از شهرستانهای استان مربوط و با فعالیت همگن در موضوعات مورد نظر تشکیل میشود و بالاخره اینکه تشکل های ملی با توافق چند تشکل استانی با فعالیت همگن در موضوعات مورد نظر تشکیل می شود. </w:t>
      </w:r>
    </w:p>
    <w:p>
      <w:pPr>
        <w:pStyle w:val="Bodytext201"/>
        <w:framePr w:wrap="auto"/>
        <w:spacing w:after="60" w:line="240" w:lineRule="auto"/>
        <w:ind w:firstLine="240"/>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sz w:val="20"/>
          <w:szCs w:val="20"/>
          <w:lang w:val="fa-IR" w:eastAsia="fa-IR"/>
        </w:rPr>
        <w:t xml:space="preserve">اهداف </w:t>
      </w:r>
    </w:p>
    <w:p>
      <w:pPr>
        <w:pStyle w:val="Bodytext201"/>
        <w:framePr w:wrap="auto"/>
        <w:spacing w:after="6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sz w:val="20"/>
          <w:szCs w:val="20"/>
          <w:lang w:val="fa-IR" w:eastAsia="fa-IR"/>
        </w:rPr>
        <w:t xml:space="preserve">هدف از تصویب این آیین نامه دستیابی به موارد زیر است :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sectPr>
          <w:headerReference w:type="even" r:id="rId64"/>
          <w:headerReference w:type="default" r:id="rId65"/>
          <w:footerReference w:type="even" r:id="rId66"/>
          <w:footerReference w:type="default" r:id="rId67"/>
          <w:headerReference w:type="first" r:id="rId68"/>
          <w:footerReference w:type="first" r:id="rId69"/>
          <w:pgSz w:w="11900" w:h="16840"/>
          <w:pgMar w:top="2643" w:right="2583" w:bottom="2643" w:left="2658" w:header="2215" w:footer="2215" w:gutter="0"/>
          <w:pgNumType w:start="13"/>
          <w:cols w:space="720"/>
          <w:bidi/>
          <w:docGrid w:linePitch="360"/>
        </w:sectPr>
      </w:pPr>
      <w:r>
        <w:rPr>
          <w:rStyle w:val="Bodytext1"/>
          <w:rFonts w:ascii="Microsoft Uighur" w:hAnsi="Microsoft Uighur" w:cs="Microsoft Uighur"/>
          <w:b/>
          <w:bCs/>
          <w:sz w:val="24"/>
          <w:szCs w:val="24"/>
          <w:lang w:val="fa-IR" w:eastAsia="fa-IR"/>
        </w:rPr>
        <w:t xml:space="preserve">-۱- ایجاد زمینه های مناسب جهت شکل گیری تشکلهای صنعتی معدنی کشاورزی، بازرگانی و خدماتی </w:t>
      </w:r>
    </w:p>
    <w:p>
      <w:pPr>
        <w:pStyle w:val="Bodytext10"/>
        <w:framePr w:wrap="auto"/>
        <w:spacing w:line="427"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ایجاد و تقویت هماهنگی و همسویی تشکل های اقتصادی در جهت دستیابی به اهداف توسعه ملی </w:t>
      </w:r>
    </w:p>
    <w:p>
      <w:pPr>
        <w:pStyle w:val="Bodytext10"/>
        <w:framePr w:wrap="auto"/>
        <w:spacing w:line="427"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فراهم سازی زمینه های مناسب جهت هماهنگی تشکل ها با ارگان ها و سازمانهای دیگر </w:t>
      </w:r>
    </w:p>
    <w:p>
      <w:pPr>
        <w:pStyle w:val="Bodytext10"/>
        <w:framePr w:wrap="auto"/>
        <w:spacing w:line="427"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حفظ استقلال و آزادی عمل اعضا در حدی که رقابت سالم رشد و خلاقیت اعضا حمایت شود. </w:t>
      </w:r>
    </w:p>
    <w:p>
      <w:pPr>
        <w:pStyle w:val="Bodytext10"/>
        <w:framePr w:wrap="auto"/>
        <w:spacing w:after="8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 زمینه سازی جهت آموزشهای لازم برای اعضا با هدف افزایش بهره وری </w:t>
      </w:r>
    </w:p>
    <w:p>
      <w:pPr>
        <w:pStyle w:val="Bodytext10"/>
        <w:framePr w:wrap="auto"/>
        <w:spacing w:after="12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رشد مشارکت ملی در ایجاد تشکلها و مشارکت در تدوین اصلاح و بهسازی قوانین </w:t>
      </w:r>
    </w:p>
    <w:p>
      <w:pPr>
        <w:pStyle w:val="Bodytext10"/>
        <w:framePr w:wrap="auto"/>
        <w:spacing w:line="427"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وحدت رویه در برخورد با مسایل فراملی و حفظ منافع کلان کشور </w:t>
      </w:r>
    </w:p>
    <w:p>
      <w:pPr>
        <w:pStyle w:val="Bodytext10"/>
        <w:framePr w:wrap="auto"/>
        <w:spacing w:line="427"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جلوگیری از ایجاد انحصار و رقابت ناسالم در راستای تأمین منافع ملی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حمایت از منافع مشترک اعضاء </w:t>
      </w:r>
    </w:p>
    <w:p>
      <w:pPr>
        <w:pStyle w:val="Bodytext10"/>
        <w:framePr w:wrap="auto"/>
        <w:spacing w:after="12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-۱۰ جلوگیری از موازی کاری و دوباره کاری های اضافه </w:t>
      </w:r>
    </w:p>
    <w:p>
      <w:pPr>
        <w:pStyle w:val="Bodytext10"/>
        <w:framePr w:wrap="auto"/>
        <w:spacing w:line="427"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۱۱- زمینه سازی جهت رشد تحقیقات، اطلاع رسانی و آموزش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۱۲ حرکت در جهت تدوین بازنگری و اجرای استانداردهای فنی و رشته ای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 - سطوح تشکل ها </w:t>
      </w:r>
    </w:p>
    <w:p>
      <w:pPr>
        <w:pStyle w:val="Bodytext10"/>
        <w:framePr w:wrap="auto"/>
        <w:spacing w:line="44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انواع تشکل های صنعتی، معدنی کشاورزی بازرگانی و خدماتی در سه سطح شهرستان، استان و کشور قابل تشکیل می باشد.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 نحوه فعالیت و اداره تشکل ها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ها بصورت غیر انتفاعی اداره شده و از هر گونه فعالیت سیاسی تحت نام تشکل مورد نظر ممنوع می باشند.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 نظام تمرکز ٫ عدم تمرکز </w:t>
      </w:r>
    </w:p>
    <w:p>
      <w:pPr>
        <w:pStyle w:val="Bodytext10"/>
        <w:framePr w:wrap="auto"/>
        <w:spacing w:after="1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-۳-۱- عضویت در تشکل های اختیاری است. </w:t>
      </w:r>
    </w:p>
    <w:p>
      <w:pPr>
        <w:pStyle w:val="Bodytext10"/>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-۳-۲- شکل گیری تشکل ها باید از پایین به بالا باشد و کلیه انتخابات با رأی مستقیم اعضا صورت خواهد گرفت </w:t>
      </w:r>
    </w:p>
    <w:p>
      <w:pPr>
        <w:pStyle w:val="Bodytext10"/>
        <w:framePr w:wrap="auto"/>
        <w:spacing w:after="8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هیچ ارگان و با تشکل مافوقی حق دخالت در انتخابات تشکل های سطح پایین تر را ندارد.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-۳-۴- هر گونه حضور نمایندگان با اعضا سازمانهای دولتی در تشکل ها صرفاً جنبه نظارتی خواهد داشت.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1- مرجع ثبت تشکل ها </w:t>
      </w:r>
    </w:p>
    <w:p>
      <w:pPr>
        <w:pStyle w:val="Bodytext10"/>
        <w:framePr w:wrap="auto"/>
        <w:spacing w:after="8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کلیه تشکل ها باید در اتاق بازرگانی و صنایع و معادن ایران به ثبت برسند.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و تابعیت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کلیه تشکل ها تابعیت جمهوری اسلامی ایران را دارند.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عاده -1- مدت فعالیت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مدت فعالیت تشکل ها از تاریخ تشکیل میتواند نامحدود باشد. نحوه انحلال و تصفیه اموال تشکل ها مطابق ضوابط مندرج در اساسنامه تشکل مربوط خواهد بود. </w:t>
      </w:r>
    </w:p>
    <w:p>
      <w:pPr>
        <w:pStyle w:val="Bodytext10"/>
        <w:framePr w:wrap="auto"/>
        <w:spacing w:after="80" w:line="240" w:lineRule="auto"/>
        <w:ind w:firstLine="200"/>
        <w:rPr>
          <w:rFonts w:ascii="Times New Roman" w:hAnsi="Times New Roman" w:cs="Times New Roman"/>
          <w:b w:val="0"/>
          <w:bCs w:val="0"/>
          <w:i w:val="0"/>
          <w:iCs w:val="0"/>
          <w:smallCaps w:val="0"/>
          <w:strike w:val="0"/>
          <w:sz w:val="24"/>
          <w:szCs w:val="24"/>
          <w:u w:val="none"/>
        </w:rPr>
        <w:sectPr>
          <w:headerReference w:type="even" r:id="rId70"/>
          <w:headerReference w:type="default" r:id="rId71"/>
          <w:footerReference w:type="even" r:id="rId72"/>
          <w:footerReference w:type="default" r:id="rId73"/>
          <w:headerReference w:type="first" r:id="rId74"/>
          <w:footerReference w:type="first" r:id="rId75"/>
          <w:pgSz w:w="11900" w:h="16840"/>
          <w:pgMar w:top="2620" w:right="2580" w:bottom="2620" w:left="2672" w:header="2192" w:footer="2192" w:gutter="0"/>
          <w:pgNumType w:start="14"/>
          <w:cols w:space="720"/>
          <w:bidi/>
          <w:docGrid w:linePitch="360"/>
        </w:sectPr>
      </w:pPr>
      <w:r>
        <w:rPr>
          <w:rStyle w:val="Bodytext1"/>
          <w:rFonts w:ascii="Microsoft Uighur" w:hAnsi="Microsoft Uighur" w:cs="Microsoft Uighur"/>
          <w:b/>
          <w:bCs/>
          <w:sz w:val="24"/>
          <w:szCs w:val="24"/>
          <w:lang w:val="fa-IR" w:eastAsia="fa-IR"/>
        </w:rPr>
        <w:t xml:space="preserve">ماده ۲ عضویت </w:t>
      </w:r>
    </w:p>
    <w:p>
      <w:pPr>
        <w:pStyle w:val="Bodytext10"/>
        <w:framePr w:wrap="auto"/>
        <w:spacing w:line="37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تمام اشخاص اعم از حقیقی یا حقوقی که در محدوده عمل تشکل مربوطه فعالیت می کنند می توانند داوطلب عضویت در تشکل مربوطه باشند و در صورت پذیرش عضویت برای ایشان کارت عضویت صادر خواهد شد. </w:t>
      </w:r>
    </w:p>
    <w:p>
      <w:pPr>
        <w:pStyle w:val="Bodytext10"/>
        <w:framePr w:wrap="auto"/>
        <w:spacing w:line="43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۱ عضویت اعضا در سایر تشکل ها مانعی برای عضویت در تشکل مربوط به یک حرفه یا رشته یا گروه کالایی با خدماتی نمی شود. </w:t>
      </w:r>
    </w:p>
    <w:p>
      <w:pPr>
        <w:pStyle w:val="Bodytext10"/>
        <w:framePr w:wrap="auto"/>
        <w:spacing w:line="44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-۲- بررسی صلاحیت عضویت در تشکل های اقتصادی صرفاً در محدوده مفاد اساسنامه و آیین نامه های داخلی تشکل مربوطه انجام میشود و ارتباطی با سایر مسایل نخواهد داشت.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۸ شکل گیری تشکل ها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۸-۱- انواع تشکلهای اقتصادی با حداقل اعضا تعیین شده ذیل قابل تشکیل می باشند. برای تشکیل تشکل ها شکل گیری مرحله ای سطوح یاد شده، ضروری است. </w:t>
      </w:r>
    </w:p>
    <w:p>
      <w:pPr>
        <w:pStyle w:val="Bodytext10"/>
        <w:framePr w:wrap="auto"/>
        <w:tabs>
          <w:tab w:val="left" w:pos="3293"/>
        </w:tabs>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تشکل های شهرستانی با عضویت حداقل ) </w:t>
      </w:r>
    </w:p>
    <w:p>
      <w:pPr>
        <w:pStyle w:val="Bodytext10"/>
        <w:framePr w:wrap="auto"/>
        <w:spacing w:line="42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شهرستانی مستقل و مشروط به حداقل یکسال فعالیت قبلی هر یک از اعضا ممکن می باشد. </w:t>
      </w:r>
    </w:p>
    <w:p>
      <w:pPr>
        <w:pStyle w:val="Bodytext10"/>
        <w:framePr w:wrap="auto"/>
        <w:tabs>
          <w:tab w:val="left" w:pos="3673"/>
        </w:tabs>
        <w:spacing w:line="422"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های کشوری (ملی) با عضویت حداقل ) ) تشکل استانی مستقل قابل تشکیل می باشند.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عدم فعالیت موازی در هر استان فقط یک تشکل استانی و در کل کشور فقط یک تشکل کشوری ملی) قابل تشکیل می باشد.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۸-۳- انواع تشکلهای اقتصادی با صدور مجوز از طرف اتاق بازرگانی و صنایع و معادن ایران تشکیل می شوند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عضویت در تشکلهای مجاور (شهرستان مجاور)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مادامی که تعداد اعضا برای تشکیل یک تشکل به حد نصاب نرسیده است اشخاص حقیقی و حقوقی می توانند به عنوان عضو در تشکل مجاور تقاضای عضویت نمایند و در صورت پذیرش به عنوان عضو عمل کنند.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تشکیل تشکل شهرستانی استانی و کشوری (ملی) در شرایط خاص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صورتی که تعداد داوطلبان در هر شهرستان با استان و یا کشور برای تشکیل تشکل شهرستانی با استانی و یا ملی همگن به حد نصاب لازم نرسد، اتاق بازرگانی و صنایع و معادن ایران میتواند با تشکیل تشکل عمومی ا رشته های غیر همگن در سطوح یاد شده موافقت نماید. </w:t>
      </w:r>
    </w:p>
    <w:p>
      <w:pPr>
        <w:pStyle w:val="Bodytext10"/>
        <w:framePr w:wrap="auto"/>
        <w:spacing w:line="389"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۹ ارکان تشکل ها </w:t>
      </w:r>
    </w:p>
    <w:p>
      <w:pPr>
        <w:pStyle w:val="Bodytext10"/>
        <w:framePr w:wrap="auto"/>
        <w:spacing w:after="12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۹-۱- ارکان تشکل ها به شرح زیر می باشد : </w:t>
      </w:r>
    </w:p>
    <w:p>
      <w:pPr>
        <w:pStyle w:val="Bodytext10"/>
        <w:framePr w:wrap="auto"/>
        <w:spacing w:after="80" w:line="240"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مجامع عمومی </w:t>
      </w:r>
    </w:p>
    <w:p>
      <w:pPr>
        <w:pStyle w:val="Bodytext10"/>
        <w:framePr w:wrap="auto"/>
        <w:spacing w:after="120" w:line="240"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هیات مدیره </w:t>
      </w:r>
    </w:p>
    <w:p>
      <w:pPr>
        <w:pStyle w:val="Bodytext10"/>
        <w:framePr w:wrap="auto"/>
        <w:spacing w:line="389"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بازرسان </w:t>
      </w:r>
    </w:p>
    <w:p>
      <w:pPr>
        <w:pStyle w:val="Bodytext10"/>
        <w:framePr w:wrap="auto"/>
        <w:spacing w:line="389" w:lineRule="auto"/>
        <w:ind w:firstLine="540"/>
        <w:jc w:val="both"/>
        <w:rPr>
          <w:rFonts w:ascii="Times New Roman" w:hAnsi="Times New Roman" w:cs="Times New Roman"/>
          <w:b w:val="0"/>
          <w:bCs w:val="0"/>
          <w:i w:val="0"/>
          <w:iCs w:val="0"/>
          <w:smallCaps w:val="0"/>
          <w:strike w:val="0"/>
          <w:sz w:val="24"/>
          <w:szCs w:val="24"/>
          <w:u w:val="none"/>
        </w:rPr>
        <w:sectPr>
          <w:headerReference w:type="even" r:id="rId76"/>
          <w:headerReference w:type="default" r:id="rId77"/>
          <w:footerReference w:type="even" r:id="rId78"/>
          <w:footerReference w:type="default" r:id="rId79"/>
          <w:headerReference w:type="first" r:id="rId80"/>
          <w:footerReference w:type="first" r:id="rId81"/>
          <w:pgSz w:w="11900" w:h="16840"/>
          <w:pgMar w:top="2631" w:right="2589" w:bottom="2631" w:left="2681" w:header="2203" w:footer="2203" w:gutter="0"/>
          <w:pgNumType w:start="15"/>
          <w:cols w:space="720"/>
          <w:bidi/>
          <w:docGrid w:linePitch="360"/>
        </w:sectPr>
      </w:pPr>
      <w:r>
        <w:rPr>
          <w:rStyle w:val="Bodytext1"/>
          <w:rFonts w:ascii="Microsoft Uighur" w:hAnsi="Microsoft Uighur" w:cs="Microsoft Uighur"/>
          <w:b/>
          <w:bCs/>
          <w:sz w:val="24"/>
          <w:szCs w:val="24"/>
          <w:lang w:val="fa-IR" w:eastAsia="fa-IR"/>
        </w:rPr>
        <w:t xml:space="preserve">دبیر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-۹-۲- نماینده یا نمایندگان اتاق بازرگانی و صنایع و معادن محل فعالیت تشکل به عنوان ناظر و بدون حق رأی برای حضور در مجامع عمومی توسط تشکل مربوط دعوت خواهند شد.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-۹-۳- وظایف هر یک از ارکان در اساسنامه تشکل مشخص خواهد شد.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۹-۴ شرایط تشکیل جلسات و تصمیم گیری در اختیار تشکل است. </w:t>
      </w:r>
    </w:p>
    <w:p>
      <w:pPr>
        <w:pStyle w:val="Bodytext10"/>
        <w:framePr w:wrap="auto"/>
        <w:spacing w:line="44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اصول اساسنامه تشکل ها می باید مطابق اصول اساسنامه تیپ اتاق بازرگانی و صنایع و معادن ایران باشد و به تایید آن برسد. </w:t>
      </w:r>
    </w:p>
    <w:p>
      <w:pPr>
        <w:pStyle w:val="Bodytext10"/>
        <w:framePr w:wrap="auto"/>
        <w:spacing w:after="14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هر عضو تنها حق یک رأی دارد.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۹۵ واجدین شرایط (مؤسسين) </w:t>
      </w:r>
    </w:p>
    <w:p>
      <w:pPr>
        <w:pStyle w:val="Bodytext10"/>
        <w:framePr w:wrap="auto"/>
        <w:spacing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مؤسسين تشکل ها باید عضو اتاق بازرگانی و صنایع و معادن باشند.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۱۰- شرایط تأسیس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داشتن زمینه فعالیت یکسان در خصوص عنوان تشکل مورد نظر. </w:t>
      </w:r>
    </w:p>
    <w:p>
      <w:pPr>
        <w:pStyle w:val="Bodytext10"/>
        <w:framePr w:wrap="auto"/>
        <w:tabs>
          <w:tab w:val="left" w:pos="2999"/>
        </w:tabs>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تعداد درخواست کنندگان حداقل ) </w:t>
      </w:r>
    </w:p>
    <w:p>
      <w:pPr>
        <w:pStyle w:val="Bodytext10"/>
        <w:framePr w:wrap="auto"/>
        <w:spacing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صدور گواهی تأسیس از طرف اتاق بازرگانی و صنایع و معادن ایران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۱۱ حداقل مواردی که باید در اساسنامه تشکل ها آورده شود.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اساسنامه کلیه تشکلهای مورد نظر باید به اتاق بازرگانی و صنایع و معادن ایران برسد و حداقل موارد زیر را </w:t>
      </w:r>
    </w:p>
    <w:p>
      <w:pPr>
        <w:pStyle w:val="Bodytext10"/>
        <w:framePr w:wrap="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برداشته باشد.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 عنوان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وابستگی </w:t>
      </w:r>
    </w:p>
    <w:p>
      <w:pPr>
        <w:pStyle w:val="Bodytext10"/>
        <w:framePr w:wrap="auto"/>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تابعیت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موضوع فعالیت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مدت فعالیت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حوزه فعالیت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اقامتگاه قانونی و نشانی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وظایف و اختیارات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شرایط عضویت و تعلیق عضویت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۱۰ نحوه تشکیل مجامع </w:t>
      </w:r>
    </w:p>
    <w:p>
      <w:pPr>
        <w:pStyle w:val="Bodytext10"/>
        <w:framePr w:wrap="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۱۱ وظایف و اختیارات ارکان اجرایی </w:t>
      </w:r>
    </w:p>
    <w:p>
      <w:pPr>
        <w:pStyle w:val="Bodytext10"/>
        <w:framePr w:wrap="auto"/>
        <w:spacing w:line="43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-۱۲- پذیرش و ثبت دستور العمل های اتاق بازرگانی و صنایع و معادن ایران در جهت اجرای صحیح مفاد این آیین نامه و سایر آیین نامه های مربوط و همچنین اساسنامه تشکل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sectPr>
          <w:headerReference w:type="even" r:id="rId82"/>
          <w:headerReference w:type="default" r:id="rId83"/>
          <w:footerReference w:type="even" r:id="rId84"/>
          <w:footerReference w:type="default" r:id="rId85"/>
          <w:headerReference w:type="first" r:id="rId86"/>
          <w:footerReference w:type="first" r:id="rId87"/>
          <w:pgSz w:w="11900" w:h="16840"/>
          <w:pgMar w:top="2608" w:right="2532" w:bottom="2608" w:left="2681" w:header="2180" w:footer="2180" w:gutter="0"/>
          <w:pgNumType w:start="16"/>
          <w:cols w:space="720"/>
          <w:bidi/>
          <w:docGrid w:linePitch="360"/>
        </w:sectPr>
      </w:pPr>
      <w:r>
        <w:rPr>
          <w:rStyle w:val="Bodytext1"/>
          <w:rFonts w:ascii="Microsoft Uighur" w:hAnsi="Microsoft Uighur" w:cs="Microsoft Uighur"/>
          <w:b/>
          <w:bCs/>
          <w:sz w:val="24"/>
          <w:szCs w:val="24"/>
          <w:lang w:val="fa-IR" w:eastAsia="fa-IR"/>
        </w:rPr>
        <w:t xml:space="preserve">۱۳ خاتمه فعالیت و نحوه انحلال و تصفیه </w:t>
      </w:r>
    </w:p>
    <w:p>
      <w:pPr>
        <w:pStyle w:val="Bodytext10"/>
        <w:framePr w:wrap="auto"/>
        <w:spacing w:after="60" w:line="240"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۱۳ اهداف و نحوه نظارت اتاق بازرگانی و صنایع و معادن ایران </w:t>
      </w:r>
    </w:p>
    <w:p>
      <w:pPr>
        <w:pStyle w:val="Bodytext210"/>
        <w:framePr w:wrap="auto"/>
        <w:jc w:val="both"/>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sz w:val="17"/>
          <w:szCs w:val="17"/>
          <w:lang w:val="fa-IR" w:eastAsia="fa-IR"/>
        </w:rPr>
        <w:t xml:space="preserve">ا اهداف نظارت </w:t>
      </w:r>
    </w:p>
    <w:p>
      <w:pPr>
        <w:pStyle w:val="Bodytext10"/>
        <w:framePr w:wrap="auto"/>
        <w:spacing w:line="401"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اهداف نظارت اتاق ایران عبارتند از: </w:t>
      </w:r>
    </w:p>
    <w:p>
      <w:pPr>
        <w:pStyle w:val="Bodytext10"/>
        <w:framePr w:wrap="auto"/>
        <w:spacing w:line="401"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ارتباط مداوم و نظام مند تشکل ها با اتاق بازرگانی و صنایع و معادن ایران و اتاق های شهرستان </w:t>
      </w:r>
    </w:p>
    <w:p>
      <w:pPr>
        <w:pStyle w:val="Bodytext10"/>
        <w:framePr w:wrap="auto"/>
        <w:spacing w:line="401"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انتقال سیاست ها و برنامه های کلان دولت به تشکلها و انعکاس نظرات و مسایل تشکل ها به قوای سه گانه </w:t>
      </w:r>
    </w:p>
    <w:p>
      <w:pPr>
        <w:pStyle w:val="Bodytext10"/>
        <w:framePr w:wrap="auto"/>
        <w:spacing w:line="401"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آگاهی از نحوه پیشرفت امور تشکل ها. </w:t>
      </w:r>
    </w:p>
    <w:p>
      <w:pPr>
        <w:pStyle w:val="Bodytext10"/>
        <w:framePr w:wrap="auto"/>
        <w:spacing w:line="401"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اطلاع از مشکلات اجرایی و ارائه پیشنهادات جهت حل مشکلات </w:t>
      </w:r>
    </w:p>
    <w:p>
      <w:pPr>
        <w:pStyle w:val="Bodytext10"/>
        <w:framePr w:wrap="auto"/>
        <w:spacing w:line="401"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فراهم آوردن شرایط لازم جهت حمایت از تشکل ها. </w:t>
      </w:r>
    </w:p>
    <w:p>
      <w:pPr>
        <w:pStyle w:val="Bodytext10"/>
        <w:framePr w:wrap="auto"/>
        <w:spacing w:line="394"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ایجاد همسویی و وحدت رویه فیمابین تشکل ها و اعضای هر تشکل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حفظ منافع اعضا در چهار چوب منافع ملی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جلوگیری از ایجاد انحصار و رانت خواری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۹ اجرای اساسنامه تشکل و تحقق اهداف مندرج در آن و انجام وظایف محوله </w:t>
      </w:r>
    </w:p>
    <w:p>
      <w:pPr>
        <w:pStyle w:val="Bodytext10"/>
        <w:framePr w:wrap="auto"/>
        <w:spacing w:after="60" w:line="240"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۱۰- توسعه کیفی و کمی شاخص های مورد نظر هر تشکل </w:t>
      </w:r>
    </w:p>
    <w:p>
      <w:pPr>
        <w:pStyle w:val="Bodytext10"/>
        <w:framePr w:wrap="auto"/>
        <w:spacing w:after="60" w:line="240"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نحوه نظارت </w:t>
      </w:r>
    </w:p>
    <w:p>
      <w:pPr>
        <w:pStyle w:val="Bodytext10"/>
        <w:framePr w:wrap="auto"/>
        <w:spacing w:line="394"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اتاق بازرگانی و صنایع و معادن ایران موظف است نظارت های لازم را جهت همسویی و وحدت رویه الشكل ها اعمال نماید و الزاماً اتاق بازرگانی و صنایع و معادن شهرستانها باید در این خصوص با هماهنگی اتاق ایران در مورد تصویب اساسنامه ها و اجرای آیین نامه نظارتی اتاق ایران به طرق زیر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بررسی درخواست و صدور مجوز رسمی تشکیل تشکل های پیشنهادی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تأیید اساسنامه تشکل های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حضور نماینده اتاق در جلسات مجمع عمومی با سایر جلسات به دعوت هیأت مدیره تشکل ها،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نظارت نظام مند بر عملکرد تشکل ها از طریق سیستم اطلاعاتی که آمار و اطلاعات مورد درخواست اتاق </w:t>
      </w:r>
    </w:p>
    <w:p>
      <w:pPr>
        <w:pStyle w:val="Heading110"/>
        <w:keepNext/>
        <w:keepLines/>
        <w:framePr w:wrap="auto"/>
        <w:spacing w:after="60"/>
        <w:ind w:firstLine="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را تأمین می کند. </w:t>
      </w:r>
      <w:bookmarkStart w:id="3" w:name="bookmark0_0"/>
      <w:bookmarkEnd w:id="3"/>
    </w:p>
    <w:p>
      <w:pPr>
        <w:pStyle w:val="Bodytext10"/>
        <w:framePr w:wrap="auto"/>
        <w:spacing w:after="120" w:line="240" w:lineRule="auto"/>
        <w:ind w:firstLine="2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 گزارش عملکرد تشکل ها که به صورت فصلی و سالانه به اتاق ایران ارسال می شود. </w:t>
      </w:r>
    </w:p>
    <w:p>
      <w:pPr>
        <w:pStyle w:val="Bodytext10"/>
        <w:framePr w:wrap="auto"/>
        <w:spacing w:after="60" w:line="240" w:lineRule="auto"/>
        <w:ind w:firstLine="2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انجام اقدامات آموزشی جهت توسعه تشکل ها و رشد دانش و بینش اعضا </w:t>
      </w:r>
    </w:p>
    <w:p>
      <w:pPr>
        <w:pStyle w:val="Bodytext10"/>
        <w:framePr w:wrap="auto"/>
        <w:spacing w:after="60" w:line="240" w:lineRule="auto"/>
        <w:ind w:firstLine="2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۱۳ ارتباطات ساختاری تشکل ها </w:t>
      </w:r>
    </w:p>
    <w:p>
      <w:pPr>
        <w:pStyle w:val="Bodytext10"/>
        <w:framePr w:wrap="auto"/>
        <w:spacing w:line="394"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هر تشکل سطح بالاتر شامل هیأت نمایندگی انتخاب شده توسط تشکل سطح پایین تر است. </w:t>
      </w:r>
    </w:p>
    <w:p>
      <w:pPr>
        <w:pStyle w:val="Bodytext10"/>
        <w:framePr w:wrap="auto"/>
        <w:spacing w:line="394"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هیات مدیره و سایر مسؤولین در سطح تشکل ها توسط اعضا و با نظارت اتاق بازرگانی و صنایع و معادن ایران انتخاب می شوند. </w:t>
      </w:r>
    </w:p>
    <w:p>
      <w:pPr>
        <w:pStyle w:val="Bodytext10"/>
        <w:framePr w:wrap="auto"/>
        <w:spacing w:after="60" w:line="394" w:lineRule="auto"/>
        <w:ind w:firstLine="280"/>
        <w:jc w:val="both"/>
        <w:rPr>
          <w:rFonts w:ascii="Times New Roman" w:hAnsi="Times New Roman" w:cs="Times New Roman"/>
          <w:b w:val="0"/>
          <w:bCs w:val="0"/>
          <w:i w:val="0"/>
          <w:iCs w:val="0"/>
          <w:smallCaps w:val="0"/>
          <w:strike w:val="0"/>
          <w:sz w:val="24"/>
          <w:szCs w:val="24"/>
          <w:u w:val="none"/>
        </w:rPr>
        <w:sectPr>
          <w:headerReference w:type="even" r:id="rId88"/>
          <w:headerReference w:type="default" r:id="rId89"/>
          <w:footerReference w:type="even" r:id="rId90"/>
          <w:footerReference w:type="default" r:id="rId91"/>
          <w:headerReference w:type="first" r:id="rId92"/>
          <w:footerReference w:type="first" r:id="rId93"/>
          <w:pgSz w:w="11900" w:h="16840"/>
          <w:pgMar w:top="2625" w:right="2543" w:bottom="2625" w:left="2670" w:header="2197" w:footer="2197" w:gutter="0"/>
          <w:pgNumType w:start="17"/>
          <w:cols w:space="720"/>
          <w:bidi/>
          <w:docGrid w:linePitch="360"/>
        </w:sectPr>
      </w:pPr>
      <w:r>
        <w:rPr>
          <w:rStyle w:val="Bodytext1"/>
          <w:rFonts w:ascii="Microsoft Uighur" w:hAnsi="Microsoft Uighur" w:cs="Microsoft Uighur"/>
          <w:b/>
          <w:bCs/>
          <w:sz w:val="24"/>
          <w:szCs w:val="24"/>
          <w:lang w:val="fa-IR" w:eastAsia="fa-IR"/>
        </w:rPr>
        <w:t xml:space="preserve">اساساً شکل گیری تشکل ها از پایین به بالا است و این روند توسط اتاق بازرگانی و صنایع و معادن ایران هدایت خواهد شد. </w:t>
      </w:r>
    </w:p>
    <w:p>
      <w:pPr>
        <w:pStyle w:val="Bodytext10"/>
        <w:framePr w:wrap="auto"/>
        <w:spacing w:line="42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تشکل های سطح کشوری (ملی) باید یکی از وظایف خود را رسیدگی به عملکرد و مشکلات تشکل های استانی و شهرستانی قرار دهند. </w:t>
      </w:r>
    </w:p>
    <w:p>
      <w:pPr>
        <w:pStyle w:val="Bodytext10"/>
        <w:framePr w:wrap="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تشکیل تشکل به صورت از بالا به پایین به مفهوم شعب پذیرفته نیست و عضویت در تشکل ها توسط اعضا) اختیاری است الا در مواقعی که اولین تشکل ایجاد شده است ...... </w:t>
      </w:r>
    </w:p>
    <w:p>
      <w:pPr>
        <w:pStyle w:val="Bodytext10"/>
        <w:framePr w:wrap="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مواردی که تشکل های کشوری (ملی) یا استانی تشکیل تشکلهای سطح پایین تر را ضروری بدانند. می توانند با انجام فعالیت های تبلیغی و آموزشی در شکل گیری تشکلهای سطح پایین تر دخیل باشند. </w:t>
      </w:r>
    </w:p>
    <w:p>
      <w:pPr>
        <w:pStyle w:val="Bodytext10"/>
        <w:framePr w:wrap="auto"/>
        <w:spacing w:line="40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در مواردی که تشکلهای سطح بالاتر تشکیل شده باشد تشکلهای سطح پایین تر با تشویق و نظارت آنها تشکیل و به عنوان عضو جدید تشکل سطح بالاتر پذیرفته می شود.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١٤- مسؤولیت اتاق ایران </w:t>
      </w:r>
    </w:p>
    <w:p>
      <w:pPr>
        <w:pStyle w:val="Bodytext10"/>
        <w:framePr w:wrap="auto"/>
        <w:spacing w:line="42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اتاق بازرگانی و صنایع و معادن ایران مسؤولیت دارد جهت فرهنگ سازی تشکل ها، همایش ها، میزگردها و مصاحبه هایی پیش بینی و به اجرا گذارد. </w:t>
      </w:r>
    </w:p>
    <w:p>
      <w:pPr>
        <w:pStyle w:val="Bodytext10"/>
        <w:framePr w:wrap="auto"/>
        <w:spacing w:line="40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اتاق بازرگانی و صنایع و معادن ایران مسؤولیت دارد سیستم اطلاع رسانی به تشکل ها و اطلاع گیری از تشکل ها را به گونه ای که برنامه ریزی های ملی را تسهیل نماید طراحی و به اجرا گذارد. </w:t>
      </w:r>
    </w:p>
    <w:p>
      <w:pPr>
        <w:pStyle w:val="Bodytext10"/>
        <w:framePr w:wrap="auto"/>
        <w:spacing w:line="382"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مسؤولیت صدور مجوز تشکیل تشکلهای شهرستانی استانی و کشوری (ملی) به عهده اتاق بازرگانی و صنایع و معادن ایران می باشد. </w:t>
      </w:r>
    </w:p>
    <w:p>
      <w:pPr>
        <w:pStyle w:val="Bodytext10"/>
        <w:framePr w:wrap="auto"/>
        <w:spacing w:line="382"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شرکت با نماینده از اتاق ایران در مجامع تشكلها بعنوان ناظر و بدون حق رأی ضروری است.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۱۵- وظایف و اختیارات تشکل ها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به منظور دستیابی به اهداف تعیین شده در ماده یک وظایف کلی تشکل ها به شرح زیر می باشد.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ایجاد زمینه پژوهش و تحقیق بین اعضاء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آموزش اعضاء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در جهت بهبود و ارتقاء کیفیت و کمیت فعالیت اعضاء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ایجاد سیستم اطلاع رسانی و تأمین اطلاعات مورد نیاز فعالیتهای تشکل های تابعه و اعضاء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جهت جلوگیری از انحصار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همکاری و مشارکت با دولت در تدوین استراتژی ها و قوانین و مقررات مربوطه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جهت جلوگیری از انجام رقابت های ناسالم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برای حل اختلاف بین اعضا و عنداللزوم بهره گیری از مرکز داوری اتاق ایران </w:t>
      </w:r>
    </w:p>
    <w:p>
      <w:pPr>
        <w:pStyle w:val="Bodytext10"/>
        <w:framePr w:wrap="auto"/>
        <w:spacing w:line="39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برای دستیابی به آخرین یافته های علمی و تکنولوژیکی روز و انتقال آن به اعضاء </w:t>
      </w:r>
    </w:p>
    <w:p>
      <w:pPr>
        <w:pStyle w:val="Bodytext10"/>
        <w:framePr w:wrap="auto"/>
        <w:spacing w:line="39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 مطالعه تحقیق و پژوهش در ابعاد فنی بازرگانی و بازاریابی و تحلیل روند آن و انتقال اطلاعات لازم به اعضاء </w:t>
      </w:r>
    </w:p>
    <w:p>
      <w:pPr>
        <w:pStyle w:val="Bodytext10"/>
        <w:framePr w:wrap="auto"/>
        <w:spacing w:after="80" w:line="394" w:lineRule="auto"/>
        <w:rPr>
          <w:rFonts w:ascii="Times New Roman" w:hAnsi="Times New Roman" w:cs="Times New Roman"/>
          <w:b w:val="0"/>
          <w:bCs w:val="0"/>
          <w:i w:val="0"/>
          <w:iCs w:val="0"/>
          <w:smallCaps w:val="0"/>
          <w:strike w:val="0"/>
          <w:sz w:val="24"/>
          <w:szCs w:val="24"/>
          <w:u w:val="none"/>
        </w:rPr>
        <w:sectPr>
          <w:headerReference w:type="even" r:id="rId94"/>
          <w:headerReference w:type="default" r:id="rId95"/>
          <w:footerReference w:type="even" r:id="rId96"/>
          <w:footerReference w:type="default" r:id="rId97"/>
          <w:headerReference w:type="first" r:id="rId98"/>
          <w:footerReference w:type="first" r:id="rId99"/>
          <w:pgSz w:w="11900" w:h="16840"/>
          <w:pgMar w:top="2608" w:right="2514" w:bottom="2608" w:left="2727" w:header="2180" w:footer="2180" w:gutter="0"/>
          <w:pgNumType w:start="18"/>
          <w:cols w:space="720"/>
          <w:bidi/>
          <w:docGrid w:linePitch="360"/>
        </w:sectPr>
      </w:pPr>
      <w:r>
        <w:rPr>
          <w:rStyle w:val="Bodytext1"/>
          <w:rFonts w:ascii="Microsoft Uighur" w:hAnsi="Microsoft Uighur" w:cs="Microsoft Uighur"/>
          <w:b/>
          <w:bCs/>
          <w:sz w:val="24"/>
          <w:szCs w:val="24"/>
          <w:lang w:val="fa-IR" w:eastAsia="fa-IR"/>
        </w:rPr>
        <w:t xml:space="preserve">-۱۱- تهیه و انتشار مجلات علمی و اقتصادی جهت استفاده اعضا و ....... </w:t>
      </w:r>
    </w:p>
    <w:p>
      <w:pPr>
        <w:pStyle w:val="Bodytext10"/>
        <w:framePr w:wrap="auto"/>
        <w:spacing w:after="1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۱۲- تشکیل سمینارها و کنفرانسهای فنی علمی و اقتصادی در زمینه های مرتبط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۱۳ حضور فعال در مجامع علمی و اقتصادی داخلی و خارجی جهت تبادل اطلاعات و تجربات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۱۹ مرکز فعالیت تشکل ها </w:t>
      </w:r>
    </w:p>
    <w:p>
      <w:pPr>
        <w:pStyle w:val="Bodytext10"/>
        <w:framePr w:wrap="auto"/>
        <w:spacing w:line="39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محل تشکیل و فعالیت تشکلهای کشوری (ملی) و استانی با رای هیات نمایندگان این تشکل ها و محل تشکیل فعالیت تشکلهای شهرستانی با رأی اعضای تشکل تعیین خواهد شد.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۱۷ رابطه اصولی تشکل ها </w:t>
      </w:r>
    </w:p>
    <w:p>
      <w:pPr>
        <w:pStyle w:val="Bodytext10"/>
        <w:framePr w:wrap="auto"/>
        <w:spacing w:line="39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های اقتصادی موضوع این آیین نامه بدون ارتباط و تبعیت از اصول اساسنامه تیپ و آیین نامه های ذیربط اتاق ایران و بدون ثبت در اتاق مذکور رسمیت نخواهند داشت.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۱۸ بودجه </w:t>
      </w:r>
    </w:p>
    <w:p>
      <w:pPr>
        <w:pStyle w:val="Bodytext10"/>
        <w:framePr w:wrap="auto"/>
        <w:spacing w:line="427"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بودجه تشکیل، توسعه، آموزش و پشتیبانی و کلیه هزینه های تشکلهای فوق الذکر توسط اعضا تأمین می شود. که شامل </w:t>
      </w:r>
    </w:p>
    <w:p>
      <w:pPr>
        <w:pStyle w:val="Bodytext10"/>
        <w:framePr w:wrap="auto"/>
        <w:spacing w:after="12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 حق عضویت </w:t>
      </w:r>
    </w:p>
    <w:p>
      <w:pPr>
        <w:pStyle w:val="Bodytext10"/>
        <w:framePr w:wrap="auto"/>
        <w:spacing w:line="415"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۲ هزینه استفاده از خدمات با طرح های آموزشی و تحصیلی </w:t>
      </w:r>
    </w:p>
    <w:p>
      <w:pPr>
        <w:pStyle w:val="Bodytext10"/>
        <w:framePr w:wrap="auto"/>
        <w:spacing w:line="415"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سایر درآمدهایی که بنابر توافق به اتفاق اعضا جهت طرح های مصوب تشکل از ایشان دریافت می شود. </w:t>
      </w:r>
    </w:p>
    <w:p>
      <w:pPr>
        <w:pStyle w:val="Bodytext10"/>
        <w:framePr w:wrap="auto"/>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کمک ها، هدایا و .......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۱۹ ارتباط بین سلسله مراتب تشکل ها </w:t>
      </w:r>
    </w:p>
    <w:p>
      <w:pPr>
        <w:pStyle w:val="Bodytext10"/>
        <w:framePr w:wrap="auto"/>
        <w:spacing w:line="427"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سلسله مراتب منطقه ای تشکلهای اقتصادی هر تشکل اقتصادی بعنوان عضو تشکل بالا دست مستقیم خود از ارتباطی که به شرح ذیل برخوردار است.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الف - تشکل های استانی با تشکل های کشوری (ملی) : </w:t>
      </w:r>
    </w:p>
    <w:p>
      <w:pPr>
        <w:pStyle w:val="Bodytext10"/>
        <w:framePr w:wrap="auto"/>
        <w:spacing w:line="43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لزوم تبعیت تشکل استانی عضو تشکل کشوری (ملی) از آیین نامه ها و مقررات عضویت در تشکل کشوری (ملی) </w:t>
      </w:r>
    </w:p>
    <w:p>
      <w:pPr>
        <w:pStyle w:val="Bodytext10"/>
        <w:framePr w:wrap="auto"/>
        <w:spacing w:line="40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تعیین خطوط و خط مشی های کلان موضوع فعالیت توسط تشکل ملی و لزوم تبعیت تشکل استانی از آنها، </w:t>
      </w:r>
    </w:p>
    <w:p>
      <w:pPr>
        <w:pStyle w:val="Bodytext10"/>
        <w:framePr w:wrap="auto"/>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شرکت تشکل استانی در مجامع عمومی تشکل ملی و برخورداری از حق رأی برابر با سایر اعضاء </w:t>
      </w:r>
    </w:p>
    <w:p>
      <w:pPr>
        <w:pStyle w:val="Bodytext10"/>
        <w:framePr w:wrap="auto"/>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استانی دارای شخصیت حقوقی و مالی و مستقل است.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۵ پرداخت حق عضویت تشکل استانی به تشکل کشوری (ملی)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تشکلهای شهرستانی با تشکل های استانی :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لزوم تبعيت تشکل شهرستانی عضو تشکل استانی از آیین نامه ها و مقررات عضویت در تشکل استانی </w:t>
      </w:r>
    </w:p>
    <w:p>
      <w:pPr>
        <w:pStyle w:val="Bodytext10"/>
        <w:framePr w:wrap="auto"/>
        <w:spacing w:line="415"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تعیین خطوط و خط مشی های کلان موضوع فعالیت تشکل استانی و لزوم تبعیت تشکل شهرستانی از آنها </w:t>
      </w:r>
    </w:p>
    <w:p>
      <w:pPr>
        <w:pStyle w:val="Bodytext10"/>
        <w:framePr w:wrap="auto"/>
        <w:spacing w:after="80" w:line="240" w:lineRule="auto"/>
        <w:jc w:val="both"/>
        <w:rPr>
          <w:rFonts w:ascii="Times New Roman" w:hAnsi="Times New Roman" w:cs="Times New Roman"/>
          <w:b w:val="0"/>
          <w:bCs w:val="0"/>
          <w:i w:val="0"/>
          <w:iCs w:val="0"/>
          <w:smallCaps w:val="0"/>
          <w:strike w:val="0"/>
          <w:sz w:val="24"/>
          <w:szCs w:val="24"/>
          <w:u w:val="none"/>
        </w:rPr>
        <w:sectPr>
          <w:headerReference w:type="even" r:id="rId100"/>
          <w:headerReference w:type="default" r:id="rId101"/>
          <w:footerReference w:type="even" r:id="rId102"/>
          <w:footerReference w:type="default" r:id="rId103"/>
          <w:headerReference w:type="first" r:id="rId104"/>
          <w:footerReference w:type="first" r:id="rId105"/>
          <w:pgSz w:w="11900" w:h="16840"/>
          <w:pgMar w:top="2614" w:right="2503" w:bottom="2614" w:left="2733" w:header="2186" w:footer="2186" w:gutter="0"/>
          <w:pgNumType w:start="19"/>
          <w:cols w:space="720"/>
          <w:bidi/>
          <w:docGrid w:linePitch="360"/>
        </w:sectPr>
      </w:pPr>
      <w:r>
        <w:rPr>
          <w:rStyle w:val="Bodytext1"/>
          <w:rFonts w:ascii="Microsoft Uighur" w:hAnsi="Microsoft Uighur" w:cs="Microsoft Uighur"/>
          <w:b/>
          <w:bCs/>
          <w:sz w:val="24"/>
          <w:szCs w:val="24"/>
          <w:lang w:val="fa-IR" w:eastAsia="fa-IR"/>
        </w:rPr>
        <w:t xml:space="preserve">شرکت تشکل شهرستانی در مجامع عمومی تشکل استانی و برخورداری از حق رأی برای با سایر اعضاء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شهرستانی دارای شخصیت حقوقی و مالی مستقل از تشکل استانی است.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پرداخت حق عضویت تشکل شهرستانی به تشکل استانی </w:t>
      </w:r>
    </w:p>
    <w:p>
      <w:pPr>
        <w:pStyle w:val="Bodytext10"/>
        <w:framePr w:wrap="auto"/>
        <w:spacing w:line="38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۲۰ ایجاد تشکل ها در موارد خاص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با توجه به اینکه در این آیین نامه شکل گیری تشکل ها از پایین به بالا و در سطوح شهرستانی، استانی و کشوری (ملی) پیش بینی شده است. در صورت لزوم و تشخیص اتاق بازرگانی و صنایع و معادن ایران، تشکل های استانی یا کشوری (ملی) میتوانند به صورت مستقیم تشکیل شوند و کلیه اعضا (اشخاص حقیقی و حقوقی مستقیماً به تشکل های مورد بحث مرتبط شوند.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۱- در صورت وجود تقاضا برای تشکیل تشکلهای شهرستانی تشکل های استانی به تشکل های شهرستانی تقسیم و کلیه اعضا به تشکلهای شهرستانی مرتبط میشوند و تشکل استانی با حضور هیات نمایندگان تشکل های شهرستانی تشکیل می گردد. </w:t>
      </w:r>
    </w:p>
    <w:p>
      <w:pPr>
        <w:pStyle w:val="Bodytext10"/>
        <w:framePr w:wrap="auto"/>
        <w:spacing w:line="398"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۲- در صورت وجود تقاضا برای تشکیل تشکلهای استانی تشکل کشوری املی) به تشکل های استانی تقسیم و کلیه اعضا به تشکلهای استانی مرتبط میشوند و تشکل کشوری (ملی) با حضور هیأت نمایندگان تشکل های استانی تشکیل می گردد. </w:t>
      </w:r>
    </w:p>
    <w:p>
      <w:pPr>
        <w:pStyle w:val="Bodytext10"/>
        <w:framePr w:wrap="auto"/>
        <w:spacing w:after="80" w:line="240"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۲۱ نام گذاری برای سطوح تشکل ها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نام گذاری برای سطوح تشکلهای اقتصادی به شرح زیر می باشد.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تشکل های شهرستانی " انجمن " نامیده می شود.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تشکلهای استانی اتحادیه" نامیده می شود. </w:t>
      </w:r>
    </w:p>
    <w:p>
      <w:pPr>
        <w:pStyle w:val="Bodytext10"/>
        <w:framePr w:wrap="auto"/>
        <w:spacing w:line="389"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تشکلهای کشوری (ملی) کانون " نامیده می شوند. </w:t>
      </w:r>
    </w:p>
    <w:p>
      <w:pPr>
        <w:pStyle w:val="Bodytext10"/>
        <w:framePr w:wrap="auto"/>
        <w:spacing w:after="200" w:line="427"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۲۲ این آیین نامه در یک مقدمه (شامل ضرورت تشکلها، سازماندهی و اداره تشکل ها و هداف) و ۲۴ تاریخ ۱۳۸۰٫۱۲٫۱۴ به تصویب شورای عالی نظارت بر اتاق ایران رسید. </w:t>
      </w:r>
    </w:p>
    <w:p>
      <w:pPr>
        <w:pStyle w:val="Bodytext10"/>
        <w:framePr w:wrap="auto"/>
        <w:spacing w:after="3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آیین نامه اجرایی تقویت تشکلهای صادراتی مصوب ۱۳۷۹٫۱۰٫۰۶ شورایعالی نظارت </w:t>
      </w:r>
    </w:p>
    <w:p>
      <w:pPr>
        <w:pStyle w:val="Bodytext10"/>
        <w:framePr w:wrap="auto"/>
        <w:spacing w:line="403"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شورای عالی نظارت بر اتاق بازرگانی و صنایع و معادن جمهوری اسلامی ایران در اجرای بند ک ماده (۵) قانون تشکیل اتاق بازرگانی و صنایع و معادن ایران مصوب پانزدهم اسفندماه ۱۳۶۹ با اصلاحیه پانزدهم آذر ماه ۱۳۷۳ آیین نامه اجرایی تقویت تشکلهای صادراتی را که تحت نام اتحادیه انجمن، جامعه، کانون، مجمع سندیکا و غیره در اتاق ایران به ثبت می رسند را به شرح ذیل تصویب نمود. </w:t>
      </w:r>
    </w:p>
    <w:p>
      <w:pPr>
        <w:pStyle w:val="Bodytext10"/>
        <w:framePr w:wrap="auto"/>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۱- تعریف تشکل صادراتی : </w:t>
      </w:r>
    </w:p>
    <w:p>
      <w:pPr>
        <w:pStyle w:val="Bodytext10"/>
        <w:framePr w:wrap="auto"/>
        <w:spacing w:line="30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تشکل صادراتی تشکلی است مرکب از اشخاص حقیقی و حقوقی که طبق مفاد این آیین نامه تشکیل می </w:t>
      </w:r>
    </w:p>
    <w:p>
      <w:pPr>
        <w:pStyle w:val="Heading110"/>
        <w:keepNext/>
        <w:keepLines/>
        <w:framePr w:wrap="auto"/>
        <w:spacing w:after="0" w:line="305" w:lineRule="auto"/>
        <w:ind w:firstLine="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گردد. </w:t>
      </w:r>
      <w:bookmarkStart w:id="4" w:name="bookmark0_1"/>
      <w:bookmarkEnd w:id="4"/>
    </w:p>
    <w:p>
      <w:pPr>
        <w:pStyle w:val="Bodytext10"/>
        <w:framePr w:wrap="auto"/>
        <w:spacing w:after="40" w:line="240" w:lineRule="auto"/>
        <w:jc w:val="both"/>
        <w:rPr>
          <w:rFonts w:ascii="Times New Roman" w:hAnsi="Times New Roman" w:cs="Times New Roman"/>
          <w:b w:val="0"/>
          <w:bCs w:val="0"/>
          <w:i w:val="0"/>
          <w:iCs w:val="0"/>
          <w:smallCaps w:val="0"/>
          <w:strike w:val="0"/>
          <w:sz w:val="24"/>
          <w:szCs w:val="24"/>
          <w:u w:val="none"/>
        </w:rPr>
        <w:sectPr>
          <w:headerReference w:type="even" r:id="rId106"/>
          <w:headerReference w:type="default" r:id="rId107"/>
          <w:footerReference w:type="even" r:id="rId108"/>
          <w:footerReference w:type="default" r:id="rId109"/>
          <w:headerReference w:type="first" r:id="rId110"/>
          <w:footerReference w:type="first" r:id="rId111"/>
          <w:pgSz w:w="11900" w:h="16840"/>
          <w:pgMar w:top="2608" w:right="2497" w:bottom="2608" w:left="2739" w:header="2180" w:footer="2180" w:gutter="0"/>
          <w:pgNumType w:start="20"/>
          <w:cols w:space="720"/>
          <w:bidi/>
          <w:docGrid w:linePitch="360"/>
        </w:sectPr>
      </w:pPr>
      <w:r>
        <w:rPr>
          <w:rStyle w:val="Bodytext1"/>
          <w:rFonts w:ascii="Microsoft Uighur" w:hAnsi="Microsoft Uighur" w:cs="Microsoft Uighur"/>
          <w:b/>
          <w:bCs/>
          <w:sz w:val="24"/>
          <w:szCs w:val="24"/>
          <w:lang w:val="fa-IR" w:eastAsia="fa-IR"/>
        </w:rPr>
        <w:t xml:space="preserve">ماده ۳- وظایف تشکلهای صادراتی </w:t>
      </w:r>
    </w:p>
    <w:p>
      <w:pPr>
        <w:pStyle w:val="Bodytext10"/>
        <w:framePr w:wrap="auto"/>
        <w:tabs>
          <w:tab w:val="left" w:pos="495"/>
        </w:tabs>
        <w:spacing w:line="408"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برای توسعه صادرات کالاها و یا خدمات تحت پوشش </w:t>
      </w:r>
    </w:p>
    <w:p>
      <w:pPr>
        <w:pStyle w:val="Bodytext10"/>
        <w:framePr w:wrap="auto"/>
        <w:spacing w:line="408"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کمک به تحقق هدفهای کمی و کیفی تعیین شده برای صادرات کالاها و یا خدمات تحت پوشش </w:t>
      </w:r>
    </w:p>
    <w:p>
      <w:pPr>
        <w:pStyle w:val="Bodytext10"/>
        <w:framePr w:wrap="auto"/>
        <w:tabs>
          <w:tab w:val="left" w:pos="495"/>
        </w:tabs>
        <w:spacing w:after="180" w:line="408"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حمایت از منافع مشترک اعضاء </w:t>
      </w:r>
    </w:p>
    <w:p>
      <w:pPr>
        <w:pStyle w:val="Bodytext10"/>
        <w:framePr w:wrap="auto"/>
        <w:tabs>
          <w:tab w:val="left" w:pos="115"/>
        </w:tabs>
        <w:spacing w:line="37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جمع آوری اطلاعات تجاری فنی و صنعتی بازارهای هدف و کشورهای رقیب به منظور ارائه خدمات لازم به اعضاء </w:t>
      </w:r>
    </w:p>
    <w:p>
      <w:pPr>
        <w:pStyle w:val="Bodytext10"/>
        <w:framePr w:wrap="auto"/>
        <w:tabs>
          <w:tab w:val="left" w:pos="49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ارائه خدمات حقوقی و مشورتی به اعضا </w:t>
      </w:r>
    </w:p>
    <w:p>
      <w:pPr>
        <w:pStyle w:val="Bodytext10"/>
        <w:framePr w:wrap="auto"/>
        <w:tabs>
          <w:tab w:val="left" w:pos="49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پیگیری و رفع مشکلات اختصاصی و یا مشترک اعضا. </w:t>
      </w:r>
    </w:p>
    <w:p>
      <w:pPr>
        <w:pStyle w:val="Bodytext10"/>
        <w:framePr w:wrap="auto"/>
        <w:tabs>
          <w:tab w:val="left" w:pos="489"/>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حمایت از حقوق قانونی اعضا </w:t>
      </w:r>
    </w:p>
    <w:p>
      <w:pPr>
        <w:pStyle w:val="Bodytext10"/>
        <w:framePr w:wrap="auto"/>
        <w:tabs>
          <w:tab w:val="left" w:pos="489"/>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کوشش و حمایت از انجام سرمایه گذاری در زمینه صدور کالا و یا خدمات تحت پوشش </w:t>
      </w:r>
    </w:p>
    <w:p>
      <w:pPr>
        <w:pStyle w:val="Bodytext10"/>
        <w:framePr w:wrap="auto"/>
        <w:tabs>
          <w:tab w:val="left" w:pos="489"/>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جلوگیری از رقابت های ناسالم اعضا در بازارهای هدف از طریق اعمال ضوابط کمیته انضباطی اتاق ایران </w:t>
      </w:r>
    </w:p>
    <w:p>
      <w:pPr>
        <w:pStyle w:val="Bodytext10"/>
        <w:framePr w:wrap="auto"/>
        <w:tabs>
          <w:tab w:val="left" w:pos="11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تلاش برای توسعه بازارهای جهانی کالاها و یا خدمات صادراتی کشور و ایجاد فرصت های مناسب برای اعضا برای ورود به این بازارها </w:t>
      </w:r>
    </w:p>
    <w:p>
      <w:pPr>
        <w:pStyle w:val="Bodytext10"/>
        <w:framePr w:wrap="auto"/>
        <w:tabs>
          <w:tab w:val="left" w:pos="11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مشارکت در تدوین و اجرای استانداردهای مورد نیاز صادرات کالاها و خدمات تحت پوشش و کنترل آن از طریق ایجاد آزمایشگاهها و شرکت های بازرسی </w:t>
      </w:r>
    </w:p>
    <w:p>
      <w:pPr>
        <w:pStyle w:val="Bodytext10"/>
        <w:framePr w:wrap="auto"/>
        <w:tabs>
          <w:tab w:val="left" w:pos="115"/>
        </w:tabs>
        <w:spacing w:line="38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مشارکت فعال در تدوین و تصویب مقررات ( قوانین و مصوبات مربوط از طریق شرکت در جلسات تصمیم سازی و تصمیم گیری در مراجع مختلف سطوح گوناگون. </w:t>
      </w:r>
    </w:p>
    <w:p>
      <w:pPr>
        <w:pStyle w:val="Bodytext10"/>
        <w:framePr w:wrap="auto"/>
        <w:tabs>
          <w:tab w:val="left" w:pos="115"/>
        </w:tabs>
        <w:spacing w:line="37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کوشش در جهت رفع اختلافات اعضا و عند اللزوم از طریق حکمیت مرکز داوری اتاق بازرگانی و صنایع و معادن ایران بین اعضاء </w:t>
      </w:r>
    </w:p>
    <w:p>
      <w:pPr>
        <w:pStyle w:val="Bodytext10"/>
        <w:framePr w:wrap="auto"/>
        <w:tabs>
          <w:tab w:val="left" w:pos="489"/>
        </w:tabs>
        <w:spacing w:line="374"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معرفی اعضا به وزارتخانه ها و سازمانهای مختلف جهت استفاده از خدمات و تسهیلات مورد نیاز </w:t>
      </w:r>
    </w:p>
    <w:p>
      <w:pPr>
        <w:pStyle w:val="Bodytext10"/>
        <w:framePr w:wrap="auto"/>
        <w:tabs>
          <w:tab w:val="left" w:pos="269"/>
        </w:tabs>
        <w:spacing w:line="408"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اجرای کلیه وظایف اجرایی مرتبط با صادرات وزارتخانه ها و سازمانهای اقتصادی مرتبط با صادرات که </w:t>
      </w:r>
    </w:p>
    <w:p>
      <w:pPr>
        <w:pStyle w:val="Heading110"/>
        <w:keepNext/>
        <w:keepLines/>
        <w:framePr w:wrap="auto"/>
        <w:spacing w:after="100"/>
        <w:ind w:firstLine="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sz w:val="27"/>
          <w:szCs w:val="27"/>
          <w:lang w:val="fa-IR" w:eastAsia="fa-IR"/>
        </w:rPr>
        <w:t xml:space="preserve">به تشکل ها تفویض می شود. </w:t>
      </w:r>
      <w:bookmarkStart w:id="5" w:name="bookmark0_2"/>
      <w:bookmarkEnd w:id="5"/>
    </w:p>
    <w:p>
      <w:pPr>
        <w:pStyle w:val="Bodytext10"/>
        <w:framePr w:wrap="auto"/>
        <w:tabs>
          <w:tab w:val="left" w:pos="495"/>
        </w:tabs>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جلب مشارکت صادر کنندگان و تشکل ها افزایش تعداد آنها به منظور بالا رفتن توان صادراتی کشور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 اصول اساسنامه تشکلهای صادراتی که تحت عنوان یک گروه خاص کالایی و یا خدماتی قرار دارند. مطابق اصول اساسنامه تیپ تنظیم شده و به تأیید اتاق ایران می رسد. </w:t>
      </w:r>
    </w:p>
    <w:p>
      <w:pPr>
        <w:pStyle w:val="Bodytext10"/>
        <w:framePr w:wrap="auto"/>
        <w:tabs>
          <w:tab w:val="left" w:pos="115"/>
        </w:tabs>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تهیه گزارشات فصلی هر سه ماه یکبار از عملکرد اتحادیه و ارزیابی آن با برنامه اتحادیه، طرح مسایل و مشکلات همراه با پیشنهاد راه حل های اجرایی برای رفع مشکلات و ارائه گزارش مزبور به اتاق ایران </w:t>
      </w:r>
    </w:p>
    <w:p>
      <w:pPr>
        <w:pStyle w:val="Bodytext10"/>
        <w:framePr w:wrap="auto"/>
        <w:tabs>
          <w:tab w:val="left" w:pos="11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صادرات گروه کالایی تحت پوشش تشکل مربوطه به نهادها و سازمانها و وزارتخانه های ذیربط با اطلاع اتاق بازرگانی و صنایع و معادن ایران </w:t>
      </w:r>
    </w:p>
    <w:p>
      <w:pPr>
        <w:pStyle w:val="Bodytext10"/>
        <w:framePr w:wrap="auto"/>
        <w:tabs>
          <w:tab w:val="left" w:pos="495"/>
        </w:tabs>
        <w:spacing w:line="40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ایجاد نظام جامع اطلاع رسانی از فعالیت های صادراتی اعضاء </w:t>
      </w:r>
    </w:p>
    <w:p>
      <w:pPr>
        <w:pStyle w:val="Bodytext10"/>
        <w:framePr w:wrap="auto"/>
        <w:spacing w:line="240" w:lineRule="auto"/>
        <w:jc w:val="both"/>
        <w:rPr>
          <w:rFonts w:ascii="Times New Roman" w:hAnsi="Times New Roman" w:cs="Times New Roman"/>
          <w:b w:val="0"/>
          <w:bCs w:val="0"/>
          <w:i w:val="0"/>
          <w:iCs w:val="0"/>
          <w:smallCaps w:val="0"/>
          <w:strike w:val="0"/>
          <w:sz w:val="24"/>
          <w:szCs w:val="24"/>
          <w:u w:val="none"/>
        </w:rPr>
        <w:sectPr>
          <w:headerReference w:type="even" r:id="rId112"/>
          <w:headerReference w:type="default" r:id="rId113"/>
          <w:footerReference w:type="even" r:id="rId114"/>
          <w:footerReference w:type="default" r:id="rId115"/>
          <w:headerReference w:type="first" r:id="rId116"/>
          <w:footerReference w:type="first" r:id="rId117"/>
          <w:pgSz w:w="11900" w:h="16840"/>
          <w:pgMar w:top="2637" w:right="2515" w:bottom="2637" w:left="2739" w:header="2209" w:footer="2209" w:gutter="0"/>
          <w:pgNumType w:start="21"/>
          <w:cols w:space="720"/>
          <w:bidi/>
          <w:docGrid w:linePitch="360"/>
        </w:sectPr>
      </w:pPr>
      <w:r>
        <w:rPr>
          <w:rStyle w:val="Bodytext1"/>
          <w:rFonts w:ascii="Microsoft Uighur" w:hAnsi="Microsoft Uighur" w:cs="Microsoft Uighur"/>
          <w:b/>
          <w:bCs/>
          <w:sz w:val="24"/>
          <w:szCs w:val="24"/>
          <w:lang w:val="fa-IR" w:eastAsia="fa-IR"/>
        </w:rPr>
        <w:t xml:space="preserve">ماده ۳ تشکلهای صادراتی در صورت احراز شرایط زیر تحت حمایت قرار می گیرند : </w:t>
      </w:r>
    </w:p>
    <w:p>
      <w:pPr>
        <w:pStyle w:val="Bodytext10"/>
        <w:framePr w:wrap="auto"/>
        <w:spacing w:line="403"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الف - در اتاق بازرگانی و صنایع و معادن ایران به ثبت رسیده باشند. </w:t>
      </w:r>
    </w:p>
    <w:p>
      <w:pPr>
        <w:pStyle w:val="Bodytext10"/>
        <w:framePr w:wrap="auto"/>
        <w:spacing w:line="403"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 اساسنامه آنها مورد تایید اتاق ایران باشد. </w:t>
      </w:r>
    </w:p>
    <w:p>
      <w:pPr>
        <w:pStyle w:val="Bodytext10"/>
        <w:framePr w:wrap="auto"/>
        <w:spacing w:line="38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اساسنامه تیپ تشکلهای صادراتی میباید به پیشنهاد اتاق ایران به تصویب شورای عالی نظارت بر اتاق ایران برسد. </w:t>
      </w:r>
    </w:p>
    <w:p>
      <w:pPr>
        <w:pStyle w:val="Bodytext10"/>
        <w:framePr w:wrap="auto"/>
        <w:spacing w:line="408" w:lineRule="auto"/>
        <w:ind w:right="200" w:firstLine="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 انتخابات هیأت مدیره و بازرسان آنها تحت نظارت اتاق ایران انجام شود و به تأیید آن برسد. د گزارش های عملکرد خود را به صورت فصلی هر سه ماه یکبار به اتاق ایران ارسال کنند. </w:t>
      </w:r>
    </w:p>
    <w:p>
      <w:pPr>
        <w:pStyle w:val="Bodytext10"/>
        <w:framePr w:wrap="auto"/>
        <w:spacing w:after="8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ه آیین نامه ها و ضوابط اجرایی ذیربط اتاق ایران را رعایت کنند. </w:t>
      </w:r>
    </w:p>
    <w:p>
      <w:pPr>
        <w:pStyle w:val="Bodytext10"/>
        <w:framePr w:wrap="auto"/>
        <w:spacing w:after="80" w:line="240" w:lineRule="auto"/>
        <w:ind w:firstLine="2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حمایتهای عام از تشکلهای صادراتی به اشکال زیر خواهد بود.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الف - بهره مندی صادر کنندگان خوشنام و معتبر مورد تأیید تشکل ها از تشریفات مربوط و تعهد (پیمان) با معرفی تشکل مربوطه از طریق مرکز توسعه صادرات ایران </w:t>
      </w:r>
    </w:p>
    <w:p>
      <w:pPr>
        <w:pStyle w:val="Bodytext10"/>
        <w:framePr w:wrap="auto"/>
        <w:spacing w:line="382"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 صدور کارت عضویت اتاقهای بازرگانی و صنایع و معادن منوط به ارائه معرفی نامه از تشکل صادراتی مربوطه از جهت تأیید صلاحیت فنی و حرفه ای می باشد. </w:t>
      </w:r>
    </w:p>
    <w:p>
      <w:pPr>
        <w:pStyle w:val="Bodytext10"/>
        <w:framePr w:wrap="auto"/>
        <w:spacing w:line="41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 - نمایندگان تشکل های صادراتی حسب مورد با داشتن حق رأی در کمیته انتخاب صادر کنندگان نمونه شرکت می نماید و نظر آنها در امتیازات اعطایی مؤثر می باشد.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و در نمایشگاه های اختصاصی که توسط شرکت سهامی نمایشگاه های بین المللی ایران در داخل و یا خارج از کشور برگزار میشود صادر کنندگان عضو تشکل با معرفی تشکل مربوطه در واگذاری غرفه در اولویت می باشند.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ز نمایندگان تشکلهای صادراتی حسب مورد در جلسات کمیته انضباطی اتاق ایران که به منظور رسیدگی به تخلفات صادر کنندگان تشکیل میشود با حق رأی شرکت می کنند.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ط پرداخت هر نوع کمک و ر یا تسهیلات دولت آیین نامه تأسیس صندوق های غیر دولتی توسعه صادرات منوط به تأیید تشکلهای صادراتی مربوطه می باشد. </w:t>
      </w:r>
    </w:p>
    <w:p>
      <w:pPr>
        <w:pStyle w:val="Bodytext10"/>
        <w:framePr w:wrap="auto"/>
        <w:spacing w:line="39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ی در صورت تحقق اهداف صادراتی تشکل جوایزی به عنوان تشویق از سوی دولت در چهارچوب آیین نامه هایی که به تصویب شورای عالی صادرات می رسد به آنها اهدا می شود. </w:t>
      </w:r>
    </w:p>
    <w:p>
      <w:pPr>
        <w:pStyle w:val="Bodytext10"/>
        <w:framePr w:wrap="auto"/>
        <w:spacing w:line="42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ل از نمایندگان تشکلهای صادراتی حسب مورد جهت شرکت در کلیه جلسات تصمیم سازی و تصمیم گیری در مراجع مختلف و سطوح گوناگون دعوت بعمل می آید. </w:t>
      </w:r>
    </w:p>
    <w:p>
      <w:pPr>
        <w:pStyle w:val="Bodytext10"/>
        <w:framePr w:wrap="auto"/>
        <w:spacing w:line="418"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 از طریق اتاق بازرگانی و صنایع و معادن ایران از نمایندگان تشکلهای صادراتی برای همراهی مقامات سیاسی و اقتصادی کشور در سفر به کشورهای خارجی و یا انجام مذاکره با هیأت خارجی در ایران دعوت بعمل می آید. </w:t>
      </w:r>
    </w:p>
    <w:p>
      <w:pPr>
        <w:pStyle w:val="Bodytext10"/>
        <w:framePr w:wrap="auto"/>
        <w:spacing w:line="442" w:lineRule="auto"/>
        <w:jc w:val="both"/>
        <w:rPr>
          <w:rFonts w:ascii="Times New Roman" w:hAnsi="Times New Roman" w:cs="Times New Roman"/>
          <w:b w:val="0"/>
          <w:bCs w:val="0"/>
          <w:i w:val="0"/>
          <w:iCs w:val="0"/>
          <w:smallCaps w:val="0"/>
          <w:strike w:val="0"/>
          <w:sz w:val="24"/>
          <w:szCs w:val="24"/>
          <w:u w:val="none"/>
        </w:rPr>
        <w:sectPr>
          <w:headerReference w:type="even" r:id="rId118"/>
          <w:headerReference w:type="default" r:id="rId119"/>
          <w:footerReference w:type="even" r:id="rId120"/>
          <w:footerReference w:type="default" r:id="rId121"/>
          <w:headerReference w:type="first" r:id="rId122"/>
          <w:footerReference w:type="first" r:id="rId123"/>
          <w:pgSz w:w="11900" w:h="16840"/>
          <w:pgMar w:top="2620" w:right="2520" w:bottom="2620" w:left="2739" w:header="2192" w:footer="2192" w:gutter="0"/>
          <w:pgNumType w:start="22"/>
          <w:cols w:space="720"/>
          <w:bidi/>
          <w:docGrid w:linePitch="360"/>
        </w:sectPr>
      </w:pPr>
      <w:r>
        <w:rPr>
          <w:rStyle w:val="Bodytext1"/>
          <w:rFonts w:ascii="Microsoft Uighur" w:hAnsi="Microsoft Uighur" w:cs="Microsoft Uighur"/>
          <w:b/>
          <w:bCs/>
          <w:sz w:val="24"/>
          <w:szCs w:val="24"/>
          <w:lang w:val="fa-IR" w:eastAsia="fa-IR"/>
        </w:rPr>
        <w:t xml:space="preserve">ماده ۵ این آیین نامه در ۵ ماده و ۲ تبصره در تاریخ ۱۰٫۰۶٫ ۱۳۷۹ به تصویب شورای عالی نظارت بر اتاق ایران رسید. </w:t>
      </w:r>
    </w:p>
    <w:p>
      <w:pPr>
        <w:pStyle w:val="Bodytext10"/>
        <w:framePr w:wrap="auto"/>
        <w:spacing w:after="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قانون اصل چهل و چهارم </w:t>
      </w:r>
    </w:p>
    <w:p>
      <w:pPr>
        <w:pStyle w:val="Bodytext10"/>
        <w:framePr w:wrap="auto"/>
        <w:spacing w:after="12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۹۱ </w:t>
      </w:r>
    </w:p>
    <w:p>
      <w:pPr>
        <w:pStyle w:val="Bodytext10"/>
        <w:framePr w:wrap="auto"/>
        <w:spacing w:after="60" w:line="348"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به منظور تامین شرایط هر چه مساعدتر برای مشارکت و مسؤولیت پذیری بخش غیر دولتی در فعالیتهای اقتصادی </w:t>
      </w:r>
    </w:p>
    <w:p>
      <w:pPr>
        <w:pStyle w:val="Bodytext10"/>
        <w:framePr w:wrap="auto"/>
        <w:spacing w:after="60" w:line="360"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الف کلیه کمیسیونهای مجلس شورای اسلامی میتوانند در بررسی لوایح و طرحهای اقتصادی نظر مشورتی فعالان اقتصادی را کسب و مورد استفاده قرار دهند. </w:t>
      </w:r>
    </w:p>
    <w:p>
      <w:pPr>
        <w:pStyle w:val="Bodytext10"/>
        <w:framePr w:wrap="auto"/>
        <w:spacing w:line="401"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 کلیه کمیسیونها هياتها شوراها و ستادهای تصمیم گیری در دولت مجازند در تصمیمات اقتصادی خود، نظر فعالان اقتصادی را جویا شده و مورد توجه قرار دهند. </w:t>
      </w:r>
    </w:p>
    <w:p>
      <w:pPr>
        <w:pStyle w:val="Bodytext10"/>
        <w:framePr w:wrap="auto"/>
        <w:spacing w:line="401"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دولت موظف است عضویت رئیس با نماینده اطاق بازرگانی و صنایع و معادن ایران و اطاق تعاون در شوراهای تصمیم گیری اقتصادی را از طریق اصلاح قانون یا آئین نامه های مربوطه رسمیت بخشد. از این پس رئیس اطاق بازرگانی و صنایع و معادن ایران و اطاق تعاون به عنوان عضو رسمی به ترکیب اعضاء شورای اقتصاد، هیأت امناء حساب ذخیره ارزی هیات سرمایه گذاری خارجی (موضوع قانون جلب و حمایت سرمایه گذاری خارجی و هیأت عالی واگذاری موضوع قانون برنامه سوم توسعه اقتصادی، اجتماعی و فرهنگی جمهوری اسلامی ایران اضافه می شود. </w:t>
      </w:r>
    </w:p>
    <w:p>
      <w:pPr>
        <w:pStyle w:val="Bodytext10"/>
        <w:framePr w:wrap="auto"/>
        <w:spacing w:line="401"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 قوه قضائیه موظف است با تشویق ارجاع پرونده های اقتصادی به داوری در داوری این گونه پرونده ها و همچنین بازرسی در موضوعات اقتصادی از ظرفیتهای کارشناسی بخش غیر دولتی نهایت استفاده را به عمل آورد. </w:t>
      </w:r>
    </w:p>
    <w:p>
      <w:pPr>
        <w:pStyle w:val="Bodytext10"/>
        <w:framePr w:wrap="auto"/>
        <w:spacing w:after="540" w:line="396"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 اطاق بازرگانی و صنایع و معادن ایران و اطاق تعاون موظفند در ایفاء نقش قانونی خود به عنوان مشاور سه قوه، ساز و کار لازم برای ساماندهی و هماهنگی تشکلهای اقتصادی و کسب نظرات فعالان اقتصادی را فراهم نموده و با کمک به ایجاد فضای تعامل سازنده بخش خصوصی با ارکان حکومت، در مسائل اقتصادی پیشنهادهای کارشناسانه لازم را ارائه نمایند. در این راستا، اطاقها موظفند با تأسیس واحد پایش و پیگیری اجراء سیاستهای کلی اصل چهل و چهارم (۴۴) قانون اساسی گزارشهای منظم لازم را به شورای عالی اجراء سیاستهای کلی اصل چهل و چهارم (۴۴) قانون اساسی تقدیم نمایند و همچنین پیش نویس قانون و ایجاد فضای مساعد کار آفرینی و رفع موانع کسب و کار را تهیه و ارائه کنند. </w:t>
      </w:r>
    </w:p>
    <w:p>
      <w:pPr>
        <w:pStyle w:val="Bodytext10"/>
        <w:framePr w:wrap="auto"/>
        <w:spacing w:after="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قانون ارتقاء سلامت نظام اداری </w:t>
      </w:r>
    </w:p>
    <w:p>
      <w:pPr>
        <w:pStyle w:val="Bodytext201"/>
        <w:framePr w:wrap="auto"/>
        <w:spacing w:after="120" w:line="240" w:lineRule="auto"/>
        <w:ind w:firstLine="320"/>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sz w:val="20"/>
          <w:szCs w:val="20"/>
          <w:lang w:val="fa-IR" w:eastAsia="fa-IR"/>
        </w:rPr>
        <w:t xml:space="preserve">ماده ۱۲ سازمان ثبت اسناد و املاک کشور موظف است. </w:t>
      </w:r>
    </w:p>
    <w:p>
      <w:pPr>
        <w:pStyle w:val="Bodytext10"/>
        <w:framePr w:wrap="auto"/>
        <w:spacing w:after="80" w:line="360" w:lineRule="auto"/>
        <w:ind w:firstLine="320"/>
        <w:jc w:val="both"/>
        <w:rPr>
          <w:rFonts w:ascii="Times New Roman" w:hAnsi="Times New Roman" w:cs="Times New Roman"/>
          <w:b w:val="0"/>
          <w:bCs w:val="0"/>
          <w:i w:val="0"/>
          <w:iCs w:val="0"/>
          <w:smallCaps w:val="0"/>
          <w:strike w:val="0"/>
          <w:sz w:val="24"/>
          <w:szCs w:val="24"/>
          <w:u w:val="none"/>
        </w:rPr>
        <w:sectPr>
          <w:headerReference w:type="even" r:id="rId124"/>
          <w:headerReference w:type="default" r:id="rId125"/>
          <w:footerReference w:type="even" r:id="rId126"/>
          <w:footerReference w:type="default" r:id="rId127"/>
          <w:headerReference w:type="first" r:id="rId128"/>
          <w:footerReference w:type="first" r:id="rId129"/>
          <w:pgSz w:w="11900" w:h="16840"/>
          <w:pgMar w:top="2614" w:right="2531" w:bottom="2614" w:left="2698" w:header="2186" w:footer="2186" w:gutter="0"/>
          <w:pgNumType w:start="23"/>
          <w:cols w:space="720"/>
          <w:bidi/>
          <w:docGrid w:linePitch="360"/>
        </w:sectPr>
      </w:pPr>
      <w:r>
        <w:rPr>
          <w:rStyle w:val="Bodytext1"/>
          <w:rFonts w:ascii="Microsoft Uighur" w:hAnsi="Microsoft Uighur" w:cs="Microsoft Uighur"/>
          <w:b/>
          <w:bCs/>
          <w:sz w:val="24"/>
          <w:szCs w:val="24"/>
          <w:lang w:val="fa-IR" w:eastAsia="fa-IR"/>
        </w:rPr>
        <w:t xml:space="preserve">اف ظرف دو سال است به تکمیل و اجرای طرح خدنگاری کاداستر) و سایر ترتیبات قانونی لازم اقدام و اطلاعات لازم را در پایگاه اطلاعاتی مربوط وارد نماید حدود دسترسی اشخاص به این پایگاه را آیین نامه اجرایی مشخص می کند. </w:t>
      </w:r>
    </w:p>
    <w:p>
      <w:pPr>
        <w:pStyle w:val="Bodytext10"/>
        <w:framePr w:wrap="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آیین نامه اجرایی توسط وزارت دادگستری و با همکاری سازمان ثبت اسناد و املاک کشور و وزارتخانه های اطلاعات و دفاع و پشتیبانی نیروهای مسلح تهیه میشود و به تصویب رئیس قوه قضائیه می رسد. </w:t>
      </w:r>
    </w:p>
    <w:p>
      <w:pPr>
        <w:pStyle w:val="Bodytext10"/>
        <w:framePr w:wrap="auto"/>
        <w:spacing w:line="406" w:lineRule="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ب ظرف یکسال پایگاه اطلاعات اشخاص حقوقی را ایجاد نماید. </w:t>
      </w:r>
    </w:p>
    <w:p>
      <w:pPr>
        <w:pStyle w:val="Bodytext10"/>
        <w:framePr w:wrap="auto"/>
        <w:spacing w:line="406" w:lineRule="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نصره - ورود اطلاعات پایگاه اطلاعاتی مذکور در بند (ب) راجع به آن دسته از اشخاص حقوقی که در سایر مراجع به ثبت رسیده یا می رسند. حسب مورد بر عهده دستگاه ثبت کننده است. </w:t>
      </w:r>
    </w:p>
    <w:p>
      <w:pPr>
        <w:pStyle w:val="Bodytext10"/>
        <w:framePr w:wrap="auto"/>
        <w:spacing w:line="406" w:lineRule="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نمره ۲ آیین نامه اجرایی بند (ب) و تبصره (۱) آن توسط وزارت دادگستری و با همکاری سازمان ثبت اسناد و املاک کشور و وزارت کشور تهیه میشود و به تصویب هیات وزیران می رسد. </w:t>
      </w:r>
    </w:p>
    <w:p>
      <w:pPr>
        <w:pStyle w:val="Bodytext10"/>
        <w:framePr w:wrap="auto"/>
        <w:spacing w:after="600" w:line="406" w:lineRule="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ج ظرف یکسال شبکه و پایگاه اطلاعاتی مشترک بین دفاتر اسناد رسمی و سازمان ثبت اسناد و املاک کشور را راه انداری نماید به نحوی که ثبت و ه و تبادل کلیه وقایع دفاتر اسناد رسمی و سازمان ثبت اسناد و املاک کشور از طریق نظام متمرکز مذکور تسهیل گردد. </w:t>
      </w:r>
    </w:p>
    <w:p>
      <w:pPr>
        <w:pStyle w:val="Bodytext10"/>
        <w:framePr w:wrap="auto"/>
        <w:spacing w:after="8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قانون بهبود مستمر محیط کسب و کار </w:t>
      </w:r>
    </w:p>
    <w:p>
      <w:pPr>
        <w:pStyle w:val="Bodytext10"/>
        <w:framePr w:wrap="auto"/>
        <w:spacing w:line="42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ماده ۵: اتاق ها مکلفند فهرست ملی تشکلهای اقتصادی را تهیه و تغییرات آن را اعلام نمایند. </w:t>
      </w:r>
    </w:p>
    <w:p>
      <w:pPr>
        <w:pStyle w:val="Bodytext10"/>
        <w:framePr w:wrap="auto"/>
        <w:spacing w:line="422" w:lineRule="auto"/>
        <w:ind w:firstLine="1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آن دسته از فعالیتهای اقتصادی که فاقد تشکل فعال میباشند اتاق ها موظفند برای ساماندهی، ایجاد و ثبت تشکلهای اقتصادی فعال زمینه های لازم را ایجاد کنند و در فعالیتهایی که تشکل های موازی وجود دارد، زمینه ادغام شبکه سازی یکپارچه سازی و انسجام تشکلهای موازی را فراهم نمایند. </w:t>
      </w:r>
    </w:p>
    <w:p>
      <w:pPr>
        <w:pStyle w:val="Bodytext10"/>
        <w:framePr w:wrap="auto"/>
        <w:spacing w:line="422" w:lineRule="auto"/>
        <w:ind w:firstLine="1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۱ : اتاق ها موظفند در فعالیتهای صادرات غیر نفتی با ایجاد انسجام، هماهنگی و تقسیم کار از فعالیت موازی تشکل ها جلوگیری کنند همه تشکلهای اقتصادی موظفند در اجرای احکام این ماده با اتاق ها همکاری کنند. </w:t>
      </w:r>
    </w:p>
    <w:p>
      <w:pPr>
        <w:pStyle w:val="Bodytext10"/>
        <w:framePr w:wrap="auto"/>
        <w:spacing w:line="422" w:lineRule="auto"/>
        <w:ind w:firstLine="1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تبصره ۲: مؤسسان و مدیران تشکل های اقتصادی نباید مانع عضویت داوطلبان جدید واجد شرایط و استفاده آنها از منافع حضور در این تشکل ها شوند. </w:t>
      </w:r>
    </w:p>
    <w:p>
      <w:pPr>
        <w:pStyle w:val="Bodytext10"/>
        <w:framePr w:wrap="auto"/>
        <w:spacing w:after="340" w:line="454" w:lineRule="auto"/>
        <w:ind w:firstLine="1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نظرات اصناف با تشکل های جدید اقتصادی سراسری با حضور رئیس شورای اصناف کشور و با رؤسای این تشکل ها در شورای گفتگو بررسی می شود. </w:t>
      </w:r>
    </w:p>
    <w:sectPr>
      <w:headerReference w:type="even" r:id="rId130"/>
      <w:headerReference w:type="default" r:id="rId131"/>
      <w:footerReference w:type="even" r:id="rId132"/>
      <w:footerReference w:type="default" r:id="rId133"/>
      <w:headerReference w:type="first" r:id="rId134"/>
      <w:footerReference w:type="first" r:id="rId135"/>
      <w:pgSz w:w="11900" w:h="16840"/>
      <w:pgMar w:top="2585" w:right="2425" w:bottom="2585" w:left="2684" w:header="2157" w:footer="2157" w:gutter="0"/>
      <w:pgNumType w:start="24"/>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17.55pt;height:5.75pt;margin-top:691.45pt;margin-left:128pt;mso-position-horizontal-relative:page;mso-position-vertical-relative:page;mso-wrap-distance-left:0;mso-wrap-distance-right:0;mso-wrap-style:none;position:absolute;z-index:-251657216" filled="f" stroked="f">
          <v:textbox style="mso-fit-shape-to-text:t" inset="0,0,0,0">
            <w:txbxContent>
              <w:p>
                <w:pPr>
                  <w:bidi w:val="0"/>
                  <w:spacing w:before="0" w:after="0" w:line="240" w:lineRule="auto"/>
                  <w:ind w:left="0" w:right="0" w:firstLine="0"/>
                  <w:jc w:val="left"/>
                  <w:rPr>
                    <w:color w:val="auto"/>
                    <w:spacing w:val="0"/>
                    <w:w w:val="100"/>
                    <w:position w:val="0"/>
                  </w:rPr>
                </w:pPr>
              </w:p>
            </w:txbxContent>
          </v:textbox>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445.55pt;height:10.65pt;margin-top:689.7pt;margin-left:71.55pt;mso-position-horizontal-relative:page;mso-position-vertical-relative:page;mso-wrap-distance-left:0;mso-wrap-distance-right:0;mso-wrap-style:none;position:absolute;z-index:-251658240" filled="f" stroked="f">
          <v:textbox style="mso-fit-shape-to-text:t" inset="0,0,0,0">
            <w:txbxContent>
              <w:p>
                <w:pPr>
                  <w:bidi w:val="0"/>
                  <w:spacing w:before="0" w:after="0" w:line="240" w:lineRule="auto"/>
                  <w:ind w:left="0" w:right="0" w:firstLine="0"/>
                  <w:jc w:val="left"/>
                  <w:rPr>
                    <w:color w:val="auto"/>
                    <w:spacing w:val="0"/>
                    <w:w w:val="100"/>
                    <w:position w:val="0"/>
                  </w:rPr>
                </w:pPr>
              </w:p>
            </w:txbxContent>
          </v:textbox>
        </v:shape>
      </w:pic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18"/>
      <w:szCs w:val="18"/>
      <w:u w:val="none"/>
      <w:lang w:bidi="ar-SA"/>
    </w:rPr>
  </w:style>
  <w:style w:type="paragraph" w:customStyle="1" w:styleId="Bodytext10">
    <w:name w:val="Body text|1"/>
    <w:basedOn w:val="Normal"/>
    <w:link w:val="Bodytext1"/>
    <w:uiPriority w:val="99"/>
    <w:pPr>
      <w:bidi/>
      <w:spacing w:before="0" w:after="0" w:line="410" w:lineRule="auto"/>
      <w:ind w:left="0" w:right="0" w:firstLine="220"/>
      <w:jc w:val="left"/>
    </w:pPr>
    <w:rPr>
      <w:rFonts w:ascii="Arial" w:hAnsi="Arial" w:cs="Arial"/>
      <w:b w:val="0"/>
      <w:bCs w:val="0"/>
      <w:i w:val="0"/>
      <w:iCs w:val="0"/>
      <w:smallCaps w:val="0"/>
      <w:strike w:val="0"/>
      <w:color w:val="auto"/>
      <w:spacing w:val="0"/>
      <w:w w:val="100"/>
      <w:position w:val="0"/>
      <w:sz w:val="18"/>
      <w:szCs w:val="18"/>
      <w:u w:val="none"/>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Bodytext20">
    <w:name w:val="Body text|2"/>
    <w:basedOn w:val="Normal"/>
    <w:link w:val="Bodytext2"/>
    <w:uiPriority w:val="99"/>
    <w:pPr>
      <w:bidi/>
      <w:spacing w:before="0" w:after="420" w:line="271"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200">
    <w:name w:val="Body text|2__0"/>
    <w:basedOn w:val="DefaultParagraphFont"/>
    <w:link w:val="Bodytext201"/>
    <w:uiPriority w:val="99"/>
    <w:rPr>
      <w:rFonts w:ascii="Arial" w:hAnsi="Arial" w:cs="Arial"/>
      <w:b/>
      <w:bCs/>
      <w:i w:val="0"/>
      <w:iCs w:val="0"/>
      <w:smallCaps w:val="0"/>
      <w:strike w:val="0"/>
      <w:color w:val="000000"/>
      <w:spacing w:val="0"/>
      <w:w w:val="100"/>
      <w:position w:val="0"/>
      <w:sz w:val="15"/>
      <w:szCs w:val="15"/>
      <w:u w:val="none"/>
      <w:lang w:bidi="ar-SA"/>
    </w:rPr>
  </w:style>
  <w:style w:type="paragraph" w:customStyle="1" w:styleId="Bodytext201">
    <w:name w:val="Body text|2_0"/>
    <w:basedOn w:val="Normal"/>
    <w:link w:val="Bodytext200"/>
    <w:uiPriority w:val="99"/>
    <w:pPr>
      <w:bidi/>
      <w:spacing w:before="0" w:after="0" w:line="425" w:lineRule="auto"/>
      <w:ind w:left="0" w:right="0" w:firstLine="220"/>
      <w:jc w:val="left"/>
    </w:pPr>
    <w:rPr>
      <w:rFonts w:ascii="Arial" w:hAnsi="Arial" w:cs="Arial"/>
      <w:b/>
      <w:bCs/>
      <w:i w:val="0"/>
      <w:iCs w:val="0"/>
      <w:smallCaps w:val="0"/>
      <w:strike w:val="0"/>
      <w:color w:val="auto"/>
      <w:spacing w:val="0"/>
      <w:w w:val="100"/>
      <w:position w:val="0"/>
      <w:sz w:val="15"/>
      <w:szCs w:val="15"/>
      <w:u w:val="none"/>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Heading110">
    <w:name w:val="Heading #1|1"/>
    <w:basedOn w:val="Normal"/>
    <w:link w:val="Heading11"/>
    <w:uiPriority w:val="99"/>
    <w:pPr>
      <w:bidi/>
      <w:spacing w:before="0" w:after="90" w:line="240" w:lineRule="auto"/>
      <w:ind w:left="0" w:right="0" w:firstLine="220"/>
      <w:jc w:val="left"/>
      <w:outlineLvl w:val="0"/>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21">
    <w:name w:val="Body text|2__1"/>
    <w:basedOn w:val="DefaultParagraphFont"/>
    <w:link w:val="Bodytext210"/>
    <w:uiPriority w:val="99"/>
    <w:rPr>
      <w:rFonts w:ascii="Arial" w:hAnsi="Arial" w:cs="Arial"/>
      <w:b/>
      <w:bCs/>
      <w:i w:val="0"/>
      <w:iCs w:val="0"/>
      <w:smallCaps w:val="0"/>
      <w:strike w:val="0"/>
      <w:color w:val="000000"/>
      <w:spacing w:val="0"/>
      <w:w w:val="100"/>
      <w:position w:val="0"/>
      <w:sz w:val="13"/>
      <w:szCs w:val="13"/>
      <w:u w:val="none"/>
      <w:lang w:bidi="ar-SA"/>
    </w:rPr>
  </w:style>
  <w:style w:type="paragraph" w:customStyle="1" w:styleId="Bodytext210">
    <w:name w:val="Body text|2_1"/>
    <w:basedOn w:val="Normal"/>
    <w:link w:val="Bodytext21"/>
    <w:uiPriority w:val="99"/>
    <w:pPr>
      <w:bidi/>
      <w:spacing w:before="0" w:after="60" w:line="240" w:lineRule="auto"/>
      <w:ind w:left="0" w:right="0" w:firstLine="260"/>
      <w:jc w:val="left"/>
    </w:pPr>
    <w:rPr>
      <w:rFonts w:ascii="Arial" w:hAnsi="Arial" w:cs="Arial"/>
      <w:b/>
      <w:bCs/>
      <w:i w:val="0"/>
      <w:iCs w:val="0"/>
      <w:smallCaps w:val="0"/>
      <w:strike w:val="0"/>
      <w:color w:val="auto"/>
      <w:spacing w:val="0"/>
      <w:w w:val="100"/>
      <w:position w:val="0"/>
      <w:sz w:val="13"/>
      <w:szCs w:val="13"/>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00" Type="http://schemas.openxmlformats.org/officeDocument/2006/relationships/header" Target="header49.xml" /><Relationship Id="rId101" Type="http://schemas.openxmlformats.org/officeDocument/2006/relationships/header" Target="header50.xml" /><Relationship Id="rId102" Type="http://schemas.openxmlformats.org/officeDocument/2006/relationships/footer" Target="footer49.xml" /><Relationship Id="rId103" Type="http://schemas.openxmlformats.org/officeDocument/2006/relationships/footer" Target="footer50.xml" /><Relationship Id="rId104" Type="http://schemas.openxmlformats.org/officeDocument/2006/relationships/header" Target="header51.xml" /><Relationship Id="rId105" Type="http://schemas.openxmlformats.org/officeDocument/2006/relationships/footer" Target="footer51.xml" /><Relationship Id="rId106" Type="http://schemas.openxmlformats.org/officeDocument/2006/relationships/header" Target="header52.xml" /><Relationship Id="rId107" Type="http://schemas.openxmlformats.org/officeDocument/2006/relationships/header" Target="header53.xml" /><Relationship Id="rId108" Type="http://schemas.openxmlformats.org/officeDocument/2006/relationships/footer" Target="footer52.xml" /><Relationship Id="rId109" Type="http://schemas.openxmlformats.org/officeDocument/2006/relationships/footer" Target="footer53.xml" /><Relationship Id="rId11" Type="http://schemas.openxmlformats.org/officeDocument/2006/relationships/header" Target="header5.xml" /><Relationship Id="rId110" Type="http://schemas.openxmlformats.org/officeDocument/2006/relationships/header" Target="header54.xml" /><Relationship Id="rId111" Type="http://schemas.openxmlformats.org/officeDocument/2006/relationships/footer" Target="footer54.xml" /><Relationship Id="rId112" Type="http://schemas.openxmlformats.org/officeDocument/2006/relationships/header" Target="header55.xml" /><Relationship Id="rId113" Type="http://schemas.openxmlformats.org/officeDocument/2006/relationships/header" Target="header56.xml" /><Relationship Id="rId114" Type="http://schemas.openxmlformats.org/officeDocument/2006/relationships/footer" Target="footer55.xml" /><Relationship Id="rId115" Type="http://schemas.openxmlformats.org/officeDocument/2006/relationships/footer" Target="footer56.xml" /><Relationship Id="rId116" Type="http://schemas.openxmlformats.org/officeDocument/2006/relationships/header" Target="header57.xml" /><Relationship Id="rId117" Type="http://schemas.openxmlformats.org/officeDocument/2006/relationships/footer" Target="footer57.xml" /><Relationship Id="rId118" Type="http://schemas.openxmlformats.org/officeDocument/2006/relationships/header" Target="header58.xml" /><Relationship Id="rId119" Type="http://schemas.openxmlformats.org/officeDocument/2006/relationships/header" Target="header59.xml" /><Relationship Id="rId12" Type="http://schemas.openxmlformats.org/officeDocument/2006/relationships/footer" Target="footer4.xml" /><Relationship Id="rId120" Type="http://schemas.openxmlformats.org/officeDocument/2006/relationships/footer" Target="footer58.xml" /><Relationship Id="rId121" Type="http://schemas.openxmlformats.org/officeDocument/2006/relationships/footer" Target="footer59.xml" /><Relationship Id="rId122" Type="http://schemas.openxmlformats.org/officeDocument/2006/relationships/header" Target="header60.xml" /><Relationship Id="rId123" Type="http://schemas.openxmlformats.org/officeDocument/2006/relationships/footer" Target="footer60.xml" /><Relationship Id="rId124" Type="http://schemas.openxmlformats.org/officeDocument/2006/relationships/header" Target="header61.xml" /><Relationship Id="rId125" Type="http://schemas.openxmlformats.org/officeDocument/2006/relationships/header" Target="header62.xml" /><Relationship Id="rId126" Type="http://schemas.openxmlformats.org/officeDocument/2006/relationships/footer" Target="footer61.xml" /><Relationship Id="rId127" Type="http://schemas.openxmlformats.org/officeDocument/2006/relationships/footer" Target="footer62.xml" /><Relationship Id="rId128" Type="http://schemas.openxmlformats.org/officeDocument/2006/relationships/header" Target="header63.xml" /><Relationship Id="rId129" Type="http://schemas.openxmlformats.org/officeDocument/2006/relationships/footer" Target="footer63.xml" /><Relationship Id="rId13" Type="http://schemas.openxmlformats.org/officeDocument/2006/relationships/footer" Target="footer5.xml" /><Relationship Id="rId130" Type="http://schemas.openxmlformats.org/officeDocument/2006/relationships/header" Target="header64.xml" /><Relationship Id="rId131" Type="http://schemas.openxmlformats.org/officeDocument/2006/relationships/header" Target="header65.xml" /><Relationship Id="rId132" Type="http://schemas.openxmlformats.org/officeDocument/2006/relationships/footer" Target="footer64.xml" /><Relationship Id="rId133" Type="http://schemas.openxmlformats.org/officeDocument/2006/relationships/footer" Target="footer65.xml" /><Relationship Id="rId134" Type="http://schemas.openxmlformats.org/officeDocument/2006/relationships/header" Target="header66.xml" /><Relationship Id="rId135" Type="http://schemas.openxmlformats.org/officeDocument/2006/relationships/footer" Target="footer66.xml" /><Relationship Id="rId136" Type="http://schemas.openxmlformats.org/officeDocument/2006/relationships/theme" Target="theme/theme1.xml" /><Relationship Id="rId137" Type="http://schemas.openxmlformats.org/officeDocument/2006/relationships/styles" Target="styles.xml" /><Relationship Id="rId14" Type="http://schemas.openxmlformats.org/officeDocument/2006/relationships/header" Target="header6.xml" /><Relationship Id="rId15" Type="http://schemas.openxmlformats.org/officeDocument/2006/relationships/footer" Target="footer6.xml" /><Relationship Id="rId16" Type="http://schemas.openxmlformats.org/officeDocument/2006/relationships/header" Target="header7.xml" /><Relationship Id="rId17" Type="http://schemas.openxmlformats.org/officeDocument/2006/relationships/header" Target="header8.xml" /><Relationship Id="rId18" Type="http://schemas.openxmlformats.org/officeDocument/2006/relationships/footer" Target="footer7.xml" /><Relationship Id="rId19" Type="http://schemas.openxmlformats.org/officeDocument/2006/relationships/footer" Target="footer8.xml" /><Relationship Id="rId2" Type="http://schemas.openxmlformats.org/officeDocument/2006/relationships/webSettings" Target="webSettings.xml" /><Relationship Id="rId20" Type="http://schemas.openxmlformats.org/officeDocument/2006/relationships/header" Target="header9.xml" /><Relationship Id="rId21" Type="http://schemas.openxmlformats.org/officeDocument/2006/relationships/footer" Target="footer9.xml" /><Relationship Id="rId22" Type="http://schemas.openxmlformats.org/officeDocument/2006/relationships/header" Target="header10.xml" /><Relationship Id="rId23" Type="http://schemas.openxmlformats.org/officeDocument/2006/relationships/header" Target="header11.xml" /><Relationship Id="rId24" Type="http://schemas.openxmlformats.org/officeDocument/2006/relationships/footer" Target="footer10.xml" /><Relationship Id="rId25" Type="http://schemas.openxmlformats.org/officeDocument/2006/relationships/footer" Target="footer11.xml" /><Relationship Id="rId26" Type="http://schemas.openxmlformats.org/officeDocument/2006/relationships/header" Target="header12.xml" /><Relationship Id="rId27" Type="http://schemas.openxmlformats.org/officeDocument/2006/relationships/footer" Target="footer12.xml" /><Relationship Id="rId28" Type="http://schemas.openxmlformats.org/officeDocument/2006/relationships/header" Target="header13.xml" /><Relationship Id="rId29" Type="http://schemas.openxmlformats.org/officeDocument/2006/relationships/header" Target="header14.xml" /><Relationship Id="rId3" Type="http://schemas.openxmlformats.org/officeDocument/2006/relationships/fontTable" Target="fontTable.xml" /><Relationship Id="rId30" Type="http://schemas.openxmlformats.org/officeDocument/2006/relationships/footer" Target="footer13.xml" /><Relationship Id="rId31" Type="http://schemas.openxmlformats.org/officeDocument/2006/relationships/footer" Target="footer14.xml" /><Relationship Id="rId32" Type="http://schemas.openxmlformats.org/officeDocument/2006/relationships/header" Target="header15.xml" /><Relationship Id="rId33" Type="http://schemas.openxmlformats.org/officeDocument/2006/relationships/footer" Target="footer15.xml" /><Relationship Id="rId34" Type="http://schemas.openxmlformats.org/officeDocument/2006/relationships/header" Target="header16.xml" /><Relationship Id="rId35" Type="http://schemas.openxmlformats.org/officeDocument/2006/relationships/header" Target="header17.xml" /><Relationship Id="rId36" Type="http://schemas.openxmlformats.org/officeDocument/2006/relationships/footer" Target="footer16.xml" /><Relationship Id="rId37" Type="http://schemas.openxmlformats.org/officeDocument/2006/relationships/footer" Target="footer17.xml" /><Relationship Id="rId38" Type="http://schemas.openxmlformats.org/officeDocument/2006/relationships/header" Target="header18.xml" /><Relationship Id="rId39" Type="http://schemas.openxmlformats.org/officeDocument/2006/relationships/footer" Target="footer18.xml" /><Relationship Id="rId4" Type="http://schemas.openxmlformats.org/officeDocument/2006/relationships/header" Target="header1.xml" /><Relationship Id="rId40" Type="http://schemas.openxmlformats.org/officeDocument/2006/relationships/header" Target="header19.xml" /><Relationship Id="rId41" Type="http://schemas.openxmlformats.org/officeDocument/2006/relationships/header" Target="header20.xml" /><Relationship Id="rId42" Type="http://schemas.openxmlformats.org/officeDocument/2006/relationships/footer" Target="footer19.xml" /><Relationship Id="rId43" Type="http://schemas.openxmlformats.org/officeDocument/2006/relationships/footer" Target="footer20.xml" /><Relationship Id="rId44" Type="http://schemas.openxmlformats.org/officeDocument/2006/relationships/header" Target="header21.xml" /><Relationship Id="rId45" Type="http://schemas.openxmlformats.org/officeDocument/2006/relationships/footer" Target="footer21.xml" /><Relationship Id="rId46" Type="http://schemas.openxmlformats.org/officeDocument/2006/relationships/header" Target="header22.xml" /><Relationship Id="rId47" Type="http://schemas.openxmlformats.org/officeDocument/2006/relationships/header" Target="header23.xml" /><Relationship Id="rId48" Type="http://schemas.openxmlformats.org/officeDocument/2006/relationships/footer" Target="footer22.xml" /><Relationship Id="rId49" Type="http://schemas.openxmlformats.org/officeDocument/2006/relationships/footer" Target="footer23.xml" /><Relationship Id="rId5" Type="http://schemas.openxmlformats.org/officeDocument/2006/relationships/header" Target="header2.xml" /><Relationship Id="rId50" Type="http://schemas.openxmlformats.org/officeDocument/2006/relationships/header" Target="header24.xml" /><Relationship Id="rId51" Type="http://schemas.openxmlformats.org/officeDocument/2006/relationships/footer" Target="footer24.xml" /><Relationship Id="rId52" Type="http://schemas.openxmlformats.org/officeDocument/2006/relationships/header" Target="header25.xml" /><Relationship Id="rId53" Type="http://schemas.openxmlformats.org/officeDocument/2006/relationships/header" Target="header26.xml" /><Relationship Id="rId54" Type="http://schemas.openxmlformats.org/officeDocument/2006/relationships/footer" Target="footer25.xml" /><Relationship Id="rId55" Type="http://schemas.openxmlformats.org/officeDocument/2006/relationships/footer" Target="footer26.xml" /><Relationship Id="rId56" Type="http://schemas.openxmlformats.org/officeDocument/2006/relationships/header" Target="header27.xml" /><Relationship Id="rId57" Type="http://schemas.openxmlformats.org/officeDocument/2006/relationships/footer" Target="footer27.xml" /><Relationship Id="rId58" Type="http://schemas.openxmlformats.org/officeDocument/2006/relationships/header" Target="header28.xml" /><Relationship Id="rId59" Type="http://schemas.openxmlformats.org/officeDocument/2006/relationships/header" Target="header29.xml" /><Relationship Id="rId6" Type="http://schemas.openxmlformats.org/officeDocument/2006/relationships/footer" Target="footer1.xml" /><Relationship Id="rId60" Type="http://schemas.openxmlformats.org/officeDocument/2006/relationships/footer" Target="footer28.xml" /><Relationship Id="rId61" Type="http://schemas.openxmlformats.org/officeDocument/2006/relationships/footer" Target="footer29.xml" /><Relationship Id="rId62" Type="http://schemas.openxmlformats.org/officeDocument/2006/relationships/header" Target="header30.xml" /><Relationship Id="rId63" Type="http://schemas.openxmlformats.org/officeDocument/2006/relationships/footer" Target="footer30.xml" /><Relationship Id="rId64" Type="http://schemas.openxmlformats.org/officeDocument/2006/relationships/header" Target="header31.xml" /><Relationship Id="rId65" Type="http://schemas.openxmlformats.org/officeDocument/2006/relationships/header" Target="header32.xml" /><Relationship Id="rId66" Type="http://schemas.openxmlformats.org/officeDocument/2006/relationships/footer" Target="footer31.xml" /><Relationship Id="rId67" Type="http://schemas.openxmlformats.org/officeDocument/2006/relationships/footer" Target="footer32.xml" /><Relationship Id="rId68" Type="http://schemas.openxmlformats.org/officeDocument/2006/relationships/header" Target="header33.xml" /><Relationship Id="rId69" Type="http://schemas.openxmlformats.org/officeDocument/2006/relationships/footer" Target="footer33.xml" /><Relationship Id="rId7" Type="http://schemas.openxmlformats.org/officeDocument/2006/relationships/footer" Target="footer2.xml" /><Relationship Id="rId70" Type="http://schemas.openxmlformats.org/officeDocument/2006/relationships/header" Target="header34.xml" /><Relationship Id="rId71" Type="http://schemas.openxmlformats.org/officeDocument/2006/relationships/header" Target="header35.xml" /><Relationship Id="rId72" Type="http://schemas.openxmlformats.org/officeDocument/2006/relationships/footer" Target="footer34.xml" /><Relationship Id="rId73" Type="http://schemas.openxmlformats.org/officeDocument/2006/relationships/footer" Target="footer35.xml" /><Relationship Id="rId74" Type="http://schemas.openxmlformats.org/officeDocument/2006/relationships/header" Target="header36.xml" /><Relationship Id="rId75" Type="http://schemas.openxmlformats.org/officeDocument/2006/relationships/footer" Target="footer36.xml" /><Relationship Id="rId76" Type="http://schemas.openxmlformats.org/officeDocument/2006/relationships/header" Target="header37.xml" /><Relationship Id="rId77" Type="http://schemas.openxmlformats.org/officeDocument/2006/relationships/header" Target="header38.xml" /><Relationship Id="rId78" Type="http://schemas.openxmlformats.org/officeDocument/2006/relationships/footer" Target="footer37.xml" /><Relationship Id="rId79" Type="http://schemas.openxmlformats.org/officeDocument/2006/relationships/footer" Target="footer38.xml" /><Relationship Id="rId8" Type="http://schemas.openxmlformats.org/officeDocument/2006/relationships/header" Target="header3.xml" /><Relationship Id="rId80" Type="http://schemas.openxmlformats.org/officeDocument/2006/relationships/header" Target="header39.xml" /><Relationship Id="rId81" Type="http://schemas.openxmlformats.org/officeDocument/2006/relationships/footer" Target="footer39.xml" /><Relationship Id="rId82" Type="http://schemas.openxmlformats.org/officeDocument/2006/relationships/header" Target="header40.xml" /><Relationship Id="rId83" Type="http://schemas.openxmlformats.org/officeDocument/2006/relationships/header" Target="header41.xml" /><Relationship Id="rId84" Type="http://schemas.openxmlformats.org/officeDocument/2006/relationships/footer" Target="footer40.xml" /><Relationship Id="rId85" Type="http://schemas.openxmlformats.org/officeDocument/2006/relationships/footer" Target="footer41.xml" /><Relationship Id="rId86" Type="http://schemas.openxmlformats.org/officeDocument/2006/relationships/header" Target="header42.xml" /><Relationship Id="rId87" Type="http://schemas.openxmlformats.org/officeDocument/2006/relationships/footer" Target="footer42.xml" /><Relationship Id="rId88" Type="http://schemas.openxmlformats.org/officeDocument/2006/relationships/header" Target="header43.xml" /><Relationship Id="rId89" Type="http://schemas.openxmlformats.org/officeDocument/2006/relationships/header" Target="header44.xml" /><Relationship Id="rId9" Type="http://schemas.openxmlformats.org/officeDocument/2006/relationships/footer" Target="footer3.xml" /><Relationship Id="rId90" Type="http://schemas.openxmlformats.org/officeDocument/2006/relationships/footer" Target="footer43.xml" /><Relationship Id="rId91" Type="http://schemas.openxmlformats.org/officeDocument/2006/relationships/footer" Target="footer44.xml" /><Relationship Id="rId92" Type="http://schemas.openxmlformats.org/officeDocument/2006/relationships/header" Target="header45.xml" /><Relationship Id="rId93" Type="http://schemas.openxmlformats.org/officeDocument/2006/relationships/footer" Target="footer45.xml" /><Relationship Id="rId94" Type="http://schemas.openxmlformats.org/officeDocument/2006/relationships/header" Target="header46.xml" /><Relationship Id="rId95" Type="http://schemas.openxmlformats.org/officeDocument/2006/relationships/header" Target="header47.xml" /><Relationship Id="rId96" Type="http://schemas.openxmlformats.org/officeDocument/2006/relationships/footer" Target="footer46.xml" /><Relationship Id="rId97" Type="http://schemas.openxmlformats.org/officeDocument/2006/relationships/footer" Target="footer47.xml" /><Relationship Id="rId98" Type="http://schemas.openxmlformats.org/officeDocument/2006/relationships/header" Target="header48.xml" /><Relationship Id="rId99" Type="http://schemas.openxmlformats.org/officeDocument/2006/relationships/footer" Target="footer48.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revision>0</cp:revision>
</cp:coreProperties>
</file>