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83.8pt;height:84.7pt;margin-top:18pt;margin-left:-12.4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10"/>
                    <w:spacing w:after="100" w:line="240" w:lineRule="auto"/>
                    <w:ind w:firstLine="56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٩٢٫٧٦٨٥٠ </w:t>
                  </w:r>
                </w:p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lang w:val="fa-IR" w:eastAsia="fa-IR"/>
                    </w:rPr>
                    <w:t xml:space="preserve">٩٢٫٤٫٢٩ </w:t>
                  </w:r>
                </w:p>
                <w:p>
                  <w:pPr>
                    <w:pStyle w:val="Bodytext20"/>
                    <w:spacing w:after="10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20"/>
                    <w:spacing w:after="10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() قوه قضائیه سازمان ثبت اسناد و املاک کشور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i w:val="0"/>
          <w:iCs w:val="0"/>
          <w:lang w:val="fa-IR" w:eastAsia="fa-IR"/>
        </w:rPr>
        <w:t xml:space="preserve">اداره کل محترم ثبت اسناد و املاک استان ... </w:t>
      </w:r>
      <w:bookmarkStart w:id="0" w:name="bookmark0"/>
      <w:bookmarkEnd w:id="0"/>
    </w:p>
    <w:p>
      <w:pPr>
        <w:pStyle w:val="Bodytext10"/>
        <w:framePr w:wrap="auto"/>
        <w:spacing w:line="427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موضوع : گواهی مالیاتی نقل و انتقال سهام موضوع تبصره یک ماده ۱۴۳ قانون مالیاتهای مستقیم در خصوص سهام بی نام و با نام در شرکت های سهامی </w:t>
      </w:r>
    </w:p>
    <w:p>
      <w:pPr>
        <w:pStyle w:val="Heading2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پیرو نامه شماره ۹۲٫۵۹۱۸۲ مورخ ۱۳۹۲٫۴٫۱ در خصوص نحوه اقدامات مقتضی نسبت به نقل و انتقال سهام در شرکتهای سهامی به استحضار می رساند :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اطلاق تبصره یک ماده ۱۴۳ قانون مالیاتهای مستقیم و عدم تفکیک و تفاوت گذاری لزوم اخذ گواهی مالیاتی نقل و انتقال سهام، بین سهام با نام و بی نام و همچنین مکاتبه سازمان امور مالیاتی بشماره نامه ۲۲۰٫۴۴۴۶ د مورخ ۱۳۹۲٫۲٫۲۵، هر چند، حقوق صاحبان سهام بی نام بموجب ماده ۳۹ لایحه اصلاحی قانون تجارت، به صورت قبض و اقباض به دیگری منتقل می گردد و هیچ گونه تشریفات دیگری برای اعتبار انتقال آن پیش بینی نشده است و این نوع سهام در وجه حامل محسوب و ملک دارنده آن میباشد، لکن به استناد مواد قانونی مذکور، مراجع ثبت شرکت ها و موسسات غیر تجاری می بایستی در هنگام بررسی صورتجلسات اعم از صورتجلسه نقل و انتقال سهام و یا صورتجلسه مجامع عمومی متضمن لیست جدید صاحبان سهام، نسبت به اخذ گواهی پرداخت مالیاتی نقل و انتقال اقدام نمایند . </w:t>
      </w:r>
    </w:p>
    <w:p>
      <w:pPr>
        <w:pStyle w:val="Bodytext10"/>
        <w:framePr w:wrap="auto"/>
        <w:spacing w:after="420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در اجرای تکالیف مقرر در قسمت سوم بند " و " ماده ۴۶ قانون برنامه پنجم توسعه جهت تکمیل پایگاه اطلاعات شرکتها و موسسات غیر تجاری خواهشمند است در صورت نقل و انتقال سهام اعم از بی نام و با نام ، گواهی پرداخت مالیاتی موضوع ماده ۱۴۳ قانون مالیاتهای مستقیم به همراه کپی مصدق کارت ملی و صفحه اول شناسنامه از سهامدار جدید اخذ گردد. </w:t>
      </w:r>
    </w:p>
    <w:p>
      <w:pPr>
        <w:pStyle w:val="Bodytext10"/>
        <w:framePr w:wrap="auto"/>
        <w:spacing w:after="120" w:line="240" w:lineRule="auto"/>
        <w:ind w:right="58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60" w:line="240" w:lineRule="auto"/>
        <w:ind w:right="462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footerReference w:type="default" r:id="rId4"/>
      <w:pgSz w:w="11900" w:h="16840"/>
      <w:pgMar w:top="385" w:right="1598" w:bottom="765" w:left="1431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40" w:line="180" w:lineRule="auto"/>
      <w:ind w:left="0" w:right="0" w:firstLine="0"/>
      <w:jc w:val="left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252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28"/>
      <w:szCs w:val="2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00" w:line="240" w:lineRule="auto"/>
      <w:ind w:left="0" w:right="0" w:firstLine="0"/>
      <w:jc w:val="left"/>
      <w:outlineLvl w:val="0"/>
    </w:pPr>
    <w:rPr>
      <w:rFonts w:ascii="B Nazanin" w:hAnsi="B Nazanin" w:cs="B Nazanin"/>
      <w:b/>
      <w:bCs/>
      <w:i/>
      <w:iCs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200" w:line="240" w:lineRule="auto"/>
      <w:ind w:left="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