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2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8.85pt;height:170.2pt;margin-top:36pt;margin-left:2pt;mso-position-horizontal-relative:margin;mso-wrap-distance-left:9pt;mso-wrap-distance-right:9pt;position:absolute;z-index:251658240" filled="f" stroked="f">
            <v:textbox inset="0,0,0,0">
              <w:txbxContent>
                <w:p>
                  <w:pPr>
                    <w:pStyle w:val="Bodytext10"/>
                    <w:spacing w:after="1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10"/>
                    <w:spacing w:after="120" w:line="240" w:lineRule="auto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20"/>
                    <w:spacing w:after="102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پیوست </w:t>
                  </w:r>
                </w:p>
                <w:p>
                  <w:pPr>
                    <w:pStyle w:val="Bodytext20"/>
                    <w:spacing w:after="120" w:line="240" w:lineRule="auto"/>
                    <w:ind w:firstLine="260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۹۲٫۵۳۵۵ </w:t>
                  </w:r>
                </w:p>
                <w:p>
                  <w:pPr>
                    <w:pStyle w:val="Bodytext3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3"/>
                      <w:rFonts w:ascii="Microsoft Uighur" w:hAnsi="Microsoft Uighur" w:cs="Microsoft Uighur"/>
                      <w:b/>
                      <w:bCs/>
                      <w:i w:val="0"/>
                      <w:iCs w:val="0"/>
                      <w:lang w:val="fa-IR" w:eastAsia="fa-IR"/>
                    </w:rPr>
                    <w:t xml:space="preserve">٩٢٫١٫٢٠ </w:t>
                  </w:r>
                </w:p>
              </w:txbxContent>
            </v:textbox>
            <w10:wrap type="square" side="right"/>
          </v:shape>
        </w:pict>
      </w: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 id="_x0000_s1026" type="#_x0000_t202" style="width:233.55pt;height:19.3pt;margin-top:153pt;margin-left:212.85pt;mso-position-horizontal-relative:margin;mso-wrap-distance-left:9pt;mso-wrap-distance-right:9pt;mso-wrap-style:none;position:absolute;z-index:251659264" filled="f" stroked="f">
            <v:textbox inset="0,0,0,0">
              <w:txbxContent>
                <w:p>
                  <w:pPr>
                    <w:pStyle w:val="Bodytext20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lang w:val="fa-IR" w:eastAsia="fa-IR"/>
                    </w:rPr>
                    <w:t xml:space="preserve">ادارات کل محترم ثبت اسناد و املاک استان ....... </w:t>
                  </w:r>
                </w:p>
              </w:txbxContent>
            </v:textbox>
            <w10:wrap type="topAndBottom"/>
          </v:shape>
        </w:pict>
      </w:r>
      <w:r>
        <w:rPr>
          <w:rStyle w:val="Bodytext2"/>
          <w:rFonts w:ascii="Microsoft Uighur" w:hAnsi="Microsoft Uighur" w:cs="Microsoft Uighur"/>
          <w:lang w:val="fa-IR" w:eastAsia="fa-IR"/>
        </w:rPr>
        <w:t xml:space="preserve">() () قوه قضائیه سازمان ثبت اسناد و املاک کشور </w:t>
      </w: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: </w:t>
      </w:r>
      <w:bookmarkStart w:id="0" w:name="bookmark0"/>
      <w:bookmarkEnd w:id="0"/>
    </w:p>
    <w:p>
      <w:pPr>
        <w:pStyle w:val="Bodytext10"/>
        <w:framePr w:wrap="auto"/>
        <w:ind w:firstLine="4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احترام، از آنجا که مشاهده میگردد در برخی از مراجع ثبت شرکتها و موسسات غیر تجاری بصورت سلیقه ای و بدون محمل قانونی نسبت به اخذ مجوز از مراجع مختلف، استعلام اخذ می گردد . لذا در راستای تکالیف ماده ۶۲ قانون برنامه پنجم توسعه که مقرر نموده : ( الزام اشخاص حقیقی و حقوقی به اخذ مجوز ، بصورت غیر ضروری و فاقد توجیه قانونی، ممنوع می باشد ) و در اجرای ساده سازی و تسهیل فرایند ثبت شرکتها و موسسات غیر تجاری و حذف و کاهش مکاتبات و استعلامات غیر ضروری، موضوعات ذیل قبل از ثبت نزد مرجع ثبت شرکت ها ، نیاز به اخذ مجوز ندارد : </w:t>
      </w:r>
    </w:p>
    <w:p>
      <w:pPr>
        <w:pStyle w:val="Bodytext10"/>
        <w:framePr w:wrap="auto"/>
        <w:spacing w:line="401" w:lineRule="auto"/>
        <w:ind w:right="760" w:hanging="3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موضوعات شرکتهای انفورماتیکی شامل طراحی و تولید و پشتیبانی نرم افزار های رایانه ای به استثنای نرم افزارهای فرهنگی ) و تامین قطعات یدکی و تعمیر و نگهداری تجهیزات کامپیوتری و سایر موارد از این قبیل، هیچ گونه تکلیف قانونی مبنی بر محدودیت و لزوم اخذ مجوز از سازمان مربوطه برای ثبت این دسته از شرکتها ملاحظه نگردیده است . </w:t>
      </w:r>
    </w:p>
    <w:p>
      <w:pPr>
        <w:pStyle w:val="Bodytext10"/>
        <w:framePr w:wrap="auto"/>
        <w:spacing w:line="451" w:lineRule="auto"/>
        <w:ind w:right="760" w:hanging="3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۲ در خصوص ثبت موضوعات حوزه فعالیت تجارت الکترونیک نیز، تصریح قانونی مبنی بر الزام به اخذ مجوز از مرکز توسعه تجارت الکترونیک قبل از ثبت وجود ندارد. </w:t>
      </w:r>
    </w:p>
    <w:p>
      <w:pPr>
        <w:pStyle w:val="Bodytext10"/>
        <w:framePr w:wrap="auto"/>
        <w:spacing w:after="380" w:line="442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لذا درج عبارت پس از اخذ مجوزهای لازم در انتهای موضوع اساسنامه کفایت می نماید و نیازی به اخذ مجوز از مراجع مذکور نمی باشد. </w:t>
      </w:r>
    </w:p>
    <w:p>
      <w:pPr>
        <w:pStyle w:val="Heading210"/>
        <w:keepNext/>
        <w:keepLines/>
        <w:framePr w:wrap="auto"/>
        <w:spacing w:after="120"/>
        <w:ind w:left="0" w:right="63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مرتضی ادب </w:t>
      </w:r>
      <w:bookmarkStart w:id="1" w:name="bookmark2"/>
      <w:bookmarkEnd w:id="1"/>
    </w:p>
    <w:p>
      <w:pPr>
        <w:pStyle w:val="Heading210"/>
        <w:keepNext/>
        <w:keepLines/>
        <w:framePr w:wrap="auto"/>
        <w:spacing w:after="24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sectPr>
      <w:footerReference w:type="default" r:id="rId4"/>
      <w:pgSz w:w="11900" w:h="16840"/>
      <w:pgMar w:top="385" w:right="1639" w:bottom="765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roman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45pt;height:6.9pt;margin-top:803.7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color w:val="014F00"/>
                    <w:sz w:val="28"/>
                    <w:szCs w:val="28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22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740" w:line="252" w:lineRule="auto"/>
      <w:ind w:left="0" w:right="0" w:firstLine="0"/>
      <w:jc w:val="center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/>
      <w:spacing w:before="0" w:after="120" w:line="240" w:lineRule="auto"/>
      <w:ind w:left="0" w:right="0" w:firstLine="400"/>
      <w:jc w:val="left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6"/>
      <w:szCs w:val="36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1020" w:after="120" w:line="240" w:lineRule="auto"/>
      <w:ind w:left="0" w:right="0" w:firstLine="0"/>
      <w:jc w:val="left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34"/>
      <w:szCs w:val="34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80" w:line="240" w:lineRule="auto"/>
      <w:ind w:left="319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