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47.05pt;height:67.2pt;margin-top:33.7pt;margin-left:482.95pt;mso-position-horizontal-relative:margin;mso-wrap-distance-left:9pt;mso-wrap-distance-right:9pt;position:absolute;z-index:-251658240">
            <v:imagedata r:id="rId4" o:title=""/>
            <w10:wrap type="square"/>
          </v:shape>
        </w:pict>
      </w:r>
    </w:p>
    <w:p>
      <w:pPr>
        <w:pStyle w:val="Bodytext2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() قوه قضائیه قوه قضائیه سازمان ثبت اسناد و املاک کشور </w:t>
      </w:r>
    </w:p>
    <w:tbl>
      <w:tblPr>
        <w:bidiVisual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3"/>
        <w:gridCol w:w="1273"/>
      </w:tblGrid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5"/>
          <w:jc w:val="center"/>
        </w:trPr>
        <w:tc>
          <w:tcPr>
            <w:tcW w:w="743" w:type="dxa"/>
            <w:vAlign w:val="top"/>
          </w:tcPr>
          <w:p>
            <w:pPr>
              <w:pStyle w:val="Other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شماره: </w:t>
            </w:r>
          </w:p>
        </w:tc>
        <w:tc>
          <w:tcPr>
            <w:tcW w:w="1273" w:type="dxa"/>
            <w:vAlign w:val="top"/>
          </w:tcPr>
          <w:p>
            <w:pPr>
              <w:pStyle w:val="Other10"/>
              <w:framePr w:wrap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٩٢٫١٩٥١٣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24"/>
          <w:jc w:val="center"/>
        </w:trPr>
        <w:tc>
          <w:tcPr>
            <w:tcW w:w="743" w:type="dxa"/>
            <w:vAlign w:val="top"/>
          </w:tcPr>
          <w:p>
            <w:pPr>
              <w:pStyle w:val="Other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تاریخ : </w:t>
            </w:r>
          </w:p>
        </w:tc>
        <w:tc>
          <w:tcPr>
            <w:tcW w:w="1273" w:type="dxa"/>
            <w:vAlign w:val="top"/>
          </w:tcPr>
          <w:p>
            <w:pPr>
              <w:pStyle w:val="Other10"/>
              <w:framePr w:wrap="auto"/>
              <w:spacing w:before="80"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۱۳۹۲٫۰۲٫۰۸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743" w:type="dxa"/>
            <w:vAlign w:val="bottom"/>
          </w:tcPr>
          <w:p>
            <w:pPr>
              <w:pStyle w:val="Other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پیوست </w:t>
            </w:r>
          </w:p>
        </w:tc>
        <w:tc>
          <w:tcPr>
            <w:tcW w:w="1273" w:type="dxa"/>
            <w:vAlign w:val="bottom"/>
          </w:tcPr>
          <w:p>
            <w:pPr>
              <w:pStyle w:val="Other10"/>
              <w:framePr w:wrap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دارد </w:t>
            </w:r>
          </w:p>
        </w:tc>
      </w:tr>
    </w:tbl>
    <w:p>
      <w:pPr>
        <w:sectPr>
          <w:footerReference w:type="default" r:id="rId5"/>
          <w:pgSz w:w="11900" w:h="16840"/>
          <w:pgMar w:top="385" w:right="4870" w:bottom="3347" w:left="826" w:header="0" w:footer="3" w:gutter="0"/>
          <w:pgNumType w:start="2"/>
          <w:cols w:num="2" w:space="720" w:equalWidth="0">
            <w:col w:w="2229" w:space="1958"/>
            <w:col w:w="2016" w:space="0"/>
          </w:cols>
          <w:bidi/>
          <w:docGrid w:linePitch="360"/>
        </w:sectPr>
      </w:pPr>
    </w:p>
    <w:p>
      <w:pPr>
        <w:framePr w:wrap="auto"/>
        <w:bidi w:val="0"/>
        <w:spacing w:before="0" w:after="0" w:line="109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type w:val="continuous"/>
          <w:pgSz w:w="11900" w:h="16840"/>
          <w:pgMar w:top="385" w:right="0" w:bottom="765" w:left="0" w:header="0" w:footer="3" w:gutter="0"/>
          <w:cols w:space="720"/>
          <w:bidi w:val="0"/>
          <w:docGrid w:linePitch="360"/>
        </w:sectPr>
      </w:pPr>
    </w:p>
    <w:p>
      <w:pPr>
        <w:pStyle w:val="Bodytext20"/>
        <w:framePr w:wrap="auto"/>
        <w:spacing w:after="66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اداره کل محترم ثبت اسناد و املاک استان............. </w:t>
      </w:r>
    </w:p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b/>
          <w:bCs/>
          <w:i w:val="0"/>
          <w:iCs w:val="0"/>
          <w:lang w:val="fa-IR" w:eastAsia="fa-IR"/>
        </w:rPr>
        <w:t xml:space="preserve">سلام علیکم </w:t>
      </w:r>
      <w:bookmarkStart w:id="0" w:name="bookmark0"/>
      <w:bookmarkEnd w:id="0"/>
    </w:p>
    <w:p>
      <w:pPr>
        <w:pStyle w:val="Bodytext10"/>
        <w:framePr w:wrap="auto"/>
        <w:ind w:firstLine="4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احتراماً در راستای رفع برخی از ابهامات و پرسشهای واصله در خصوص استاندارد سازی پذیرش صورت جلسات مجامع و هیأت مدیره در حوزه ثبت شرکتها و موسسات غیر تجاری به استحضار می رساند : </w:t>
      </w:r>
    </w:p>
    <w:p>
      <w:pPr>
        <w:pStyle w:val="Bodytext10"/>
        <w:framePr w:wrap="auto"/>
        <w:ind w:left="5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از آنجا که یکی از مولفه ها و مراحلی که در سرعت و ارتقای کیفیت خدمات ثبتی در حوزه اشخاص حقوقی حائز اهمیت است. چگونگی پذیرش و ورود اطلاعات صورتجلسات تغییرات میباشد و در بسیاری از موارد دیده شده است اظهارات و مدارک و صورتجلساتی که به مراجع ثبت شرکتها ارسال میگردد با ایرادات و نواقص شکلی متعددی مورد پذیرش واقع می گردد که نه تنها باعث اتلاف وقت در نحوه ارائه خدمات ثبت شرکت ها و موسسات غیر تجاری شده بلکه فرایند ثبت شرکتها را با مخاطره مواجه می نماید و موجب افزایش مدت رسیدگی و اضافه شدن زمان رفع نقص به زمان اقدامات مرجع ثبت شرکتها می شود و بدیهی است جلوگیری از ورود اینگونه درخواستها در فرآیند رسیدگی حجم قابل توجهی از مشکلات ادارات را خواهد کاست لذا خواهشمند است دستور فرمائید مراتب شیوه نامه پذیرش صورتجلسات ( تصویر پیوست ) به نحو مقتضی به مسئولین کارشناسان ذیربط و متقاضیان اطلاع رسانی گردیده تا بدینوسیله در صورت عدم رعایت موارد قانونی مذکور از پذیرش صورتجلسات تا رفع نقائص و الزامات مورد نظر خودداری گردد. همچنین لازم به ذکر است رعایت موارد پیوست صرفاً در جهت پذیرش صورتجلسه بوده و پس از تطابق با مفاد پرونده و اساسنامه و سایر مقررات قانونی منجر به ثبت می گردد. </w:t>
      </w:r>
    </w:p>
    <w:p>
      <w:pPr>
        <w:pStyle w:val="Bodytext10"/>
        <w:framePr w:wrap="auto"/>
        <w:ind w:left="5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همچنین به پیوست لوح فشرده شامل فهرست کامل مجوزها نسخه اولیه جهت بهره برداری و اعلام نظر ارسال ، بدیهی است پس اخذ نظرات ارزشمند استانها ، نسخه نهائی متعاقبا جهت ابلاغ به کلیه مراجع ثبت شرکتها ارسال خواهد گردید. </w:t>
      </w:r>
    </w:p>
    <w:p>
      <w:pPr>
        <w:pStyle w:val="Heading210"/>
        <w:keepNext/>
        <w:keepLines/>
        <w:framePr w:wrap="auto"/>
        <w:spacing w:after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مرتضی ادب مدیر کل ثبت شرکتها </w:t>
      </w:r>
      <w:bookmarkStart w:id="1" w:name="bookmark2"/>
      <w:bookmarkEnd w:id="1"/>
    </w:p>
    <w:p>
      <w:pPr>
        <w:pStyle w:val="Heading210"/>
        <w:keepNext/>
        <w:keepLines/>
        <w:framePr w:wrap="auto"/>
        <w:spacing w:after="6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type w:val="continuous"/>
          <w:pgSz w:w="11900" w:h="16840"/>
          <w:pgMar w:top="385" w:right="1615" w:bottom="765" w:left="826" w:header="0" w:footer="3" w:gutter="0"/>
          <w:cols w:space="720"/>
          <w:bidi/>
          <w:docGrid w:linePitch="360"/>
        </w:sect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و موسسات غیر تجاری </w:t>
      </w: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 id="_x0000_s1026" type="#_x0000_t75" style="width:47.05pt;height:67.2pt;margin-top:34.85pt;margin-left:483.55pt;mso-position-horizontal-relative:margin;mso-wrap-distance-left:9pt;mso-wrap-distance-right:9pt;position:absolute;z-index:-251657216">
            <v:imagedata r:id="rId4" o:title=""/>
            <w10:wrap type="square"/>
          </v:shape>
        </w:pict>
      </w:r>
    </w:p>
    <w:p>
      <w:pPr>
        <w:pStyle w:val="Bodytext30"/>
        <w:framePr w:wrap="auto"/>
        <w:spacing w:line="271" w:lineRule="auto"/>
        <w:ind w:firstLine="78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3"/>
          <w:lang w:val="ar-SA" w:eastAsia="ar-SA"/>
        </w:rPr>
        <w:t>(ن)</w:t>
      </w:r>
    </w:p>
    <w:p>
      <w:pPr>
        <w:pStyle w:val="Heading1101"/>
        <w:keepNext/>
        <w:keepLines/>
        <w:framePr w:wrap="auto"/>
        <w:spacing w:after="0" w:line="271" w:lineRule="auto"/>
        <w:ind w:firstLine="48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bookmarkStart w:id="2" w:name="bookmark0_0"/>
      <w:r>
        <w:rPr>
          <w:rStyle w:val="Heading1100"/>
          <w:rFonts w:ascii="Arial" w:hAnsi="Arial" w:cs="Arial"/>
          <w:i w:val="0"/>
          <w:iCs w:val="0"/>
          <w:color w:val="375836"/>
          <w:sz w:val="112"/>
          <w:szCs w:val="112"/>
        </w:rPr>
        <w:t>07</w:t>
      </w:r>
      <w:bookmarkEnd w:id="2"/>
    </w:p>
    <w:p>
      <w:pPr>
        <w:pStyle w:val="Bodytext30"/>
        <w:framePr w:wrap="auto"/>
        <w:spacing w:line="18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قوه قضائیه </w:t>
      </w:r>
    </w:p>
    <w:p>
      <w:pPr>
        <w:pStyle w:val="Heading210"/>
        <w:keepNext/>
        <w:keepLines/>
        <w:framePr w:wrap="auto"/>
        <w:spacing w:after="0" w:line="240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سازمان ثبت اسناد و املاک کشور </w:t>
      </w:r>
      <w:bookmarkStart w:id="3" w:name="bookmark2_0"/>
      <w:bookmarkEnd w:id="3"/>
    </w:p>
    <w:p>
      <w:pPr>
        <w:pStyle w:val="Bodytext10"/>
        <w:framePr w:wrap="auto"/>
        <w:tabs>
          <w:tab w:val="left" w:pos="858"/>
        </w:tabs>
        <w:spacing w:after="160" w:line="24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br w:type="column"/>
      </w: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٩٢٫١٩٥١٣ </w:t>
      </w:r>
    </w:p>
    <w:p>
      <w:pPr>
        <w:pStyle w:val="Bodytext10"/>
        <w:framePr w:wrap="auto"/>
        <w:tabs>
          <w:tab w:val="left" w:pos="858"/>
        </w:tabs>
        <w:spacing w:after="160" w:line="24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۱۳۹۲٫۰۲٫۰۸ </w:t>
      </w:r>
    </w:p>
    <w:p>
      <w:pPr>
        <w:pStyle w:val="Bodytext10"/>
        <w:framePr w:wrap="auto"/>
        <w:spacing w:line="24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footerReference w:type="default" r:id="rId6"/>
          <w:pgSz w:w="11900" w:h="16840"/>
          <w:pgMar w:top="362" w:right="4836" w:bottom="3514" w:left="815" w:header="0" w:footer="3" w:gutter="0"/>
          <w:pgNumType w:start="3"/>
          <w:cols w:num="2" w:space="1987"/>
          <w:bidi/>
          <w:docGrid w:linePitch="360"/>
        </w:sect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پیوست </w:t>
      </w:r>
    </w:p>
    <w:p>
      <w:pPr>
        <w:framePr w:wrap="auto"/>
        <w:bidi w:val="0"/>
        <w:spacing w:before="0" w:after="0" w:line="18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type w:val="continuous"/>
          <w:pgSz w:w="11900" w:h="16840"/>
          <w:pgMar w:top="362" w:right="0" w:bottom="765" w:left="0" w:header="0" w:footer="3" w:gutter="0"/>
          <w:cols w:space="720"/>
          <w:bidi w:val="0"/>
          <w:docGrid w:linePitch="360"/>
        </w:sectPr>
      </w:pPr>
    </w:p>
    <w:p>
      <w:pPr>
        <w:pStyle w:val="Bodytext101"/>
        <w:framePr w:wrap="auto"/>
        <w:spacing w:line="374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00"/>
          <w:rFonts w:ascii="Microsoft Uighur" w:hAnsi="Microsoft Uighur" w:cs="Microsoft Uighur"/>
          <w:b/>
          <w:bCs/>
          <w:lang w:val="fa-IR" w:eastAsia="fa-IR"/>
        </w:rPr>
        <w:t xml:space="preserve">-۱- درج کدملی کلیه اشخاص حقیقی ) هیات مدیره و بازرس و یا مدیر تصفیه و یا نماینده اشخاص حقوقی ) در متن صورتجلسه آیین نامه هیات وزیران در خصوص اختصاص کد ملی و بخشنامه صادره سازمان )) </w:t>
      </w:r>
    </w:p>
    <w:p>
      <w:pPr>
        <w:pStyle w:val="Bodytext101"/>
        <w:framePr w:wrap="auto"/>
        <w:spacing w:line="394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00"/>
          <w:rFonts w:ascii="Microsoft Uighur" w:hAnsi="Microsoft Uighur" w:cs="Microsoft Uighur"/>
          <w:b/>
          <w:bCs/>
          <w:lang w:val="fa-IR" w:eastAsia="fa-IR"/>
        </w:rPr>
        <w:t xml:space="preserve">درج شناسه ملی اشخاص حقوقی در متن صورتجلسه مراجعه به سایت www.ilenc.ir در رعایت آیین نامه اختصاص شناسه ملی به کلیه اشخاص حقوقی </w:t>
      </w:r>
    </w:p>
    <w:p>
      <w:pPr>
        <w:pStyle w:val="Bodytext101"/>
        <w:framePr w:wrap="auto"/>
        <w:spacing w:line="394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00"/>
          <w:rFonts w:ascii="Microsoft Uighur" w:hAnsi="Microsoft Uighur" w:cs="Microsoft Uighur"/>
          <w:b/>
          <w:bCs/>
          <w:lang w:val="fa-IR" w:eastAsia="fa-IR"/>
        </w:rPr>
        <w:t xml:space="preserve">درج شماره ثبت و نوع شرکت یا موسسه در مقابل نام آن در رعایت مواد ۹۵ و ۱۱۷ و ۱۴۱ و ۱۶۳ قانون تجارت و تبصره ماده ۴ لایحه اصلاحی قانون تجارت ) </w:t>
      </w:r>
    </w:p>
    <w:p>
      <w:pPr>
        <w:pStyle w:val="Bodytext101"/>
        <w:framePr w:wrap="auto"/>
        <w:spacing w:line="418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00"/>
          <w:rFonts w:ascii="Microsoft Uighur" w:hAnsi="Microsoft Uighur" w:cs="Microsoft Uighur"/>
          <w:b/>
          <w:bCs/>
          <w:lang w:val="fa-IR" w:eastAsia="fa-IR"/>
        </w:rPr>
        <w:t xml:space="preserve">۴ ارائه کپی برابر اصل کارت ملی و صفحه اول شناسنامه جهت ورود هر سهامدار ، شریک . مدیر یا بازرس جدید و یا نماینده شخص حقوقی ) </w:t>
      </w:r>
    </w:p>
    <w:p>
      <w:pPr>
        <w:pStyle w:val="Bodytext101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00"/>
          <w:rFonts w:ascii="Microsoft Uighur" w:hAnsi="Microsoft Uighur" w:cs="Microsoft Uighur"/>
          <w:b/>
          <w:bCs/>
          <w:lang w:val="fa-IR" w:eastAsia="fa-IR"/>
        </w:rPr>
        <w:t xml:space="preserve">-۵ درج تاریخ و ساعت صورتجلسات بدون لاک گرفتگی خراشیدگی و اصلاح و مخدوش بودن در رعایت تطبیق ماده ۱۰۰ لایحه اصلاحی قانون تجارت و تشریفات اساسنامه ) </w:t>
      </w:r>
    </w:p>
    <w:p>
      <w:pPr>
        <w:pStyle w:val="Bodytext101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00"/>
          <w:rFonts w:ascii="Microsoft Uighur" w:hAnsi="Microsoft Uighur" w:cs="Microsoft Uighur"/>
          <w:b/>
          <w:bCs/>
          <w:lang w:val="fa-IR" w:eastAsia="fa-IR"/>
        </w:rPr>
        <w:t xml:space="preserve">- دارا بودن امضاء تمامی صفحات ذیل صورتجلسات توسط حاضرین در شرکت با مسئولیت محدود و تضامنی ) جهت تطبیق با تشریفات اساسنامه و حضور شرکا ) </w:t>
      </w:r>
    </w:p>
    <w:p>
      <w:pPr>
        <w:pStyle w:val="Bodytext101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00"/>
          <w:rFonts w:ascii="Microsoft Uighur" w:hAnsi="Microsoft Uighur" w:cs="Microsoft Uighur"/>
          <w:b/>
          <w:bCs/>
          <w:lang w:val="fa-IR" w:eastAsia="fa-IR"/>
        </w:rPr>
        <w:t xml:space="preserve">ارائه لیست سهامداران با امضا سهامدارن و هیات رئیسه در خصوص شرکت های سهامی با قید تاریخ صورتجلسه در صدر لیست در رعایت ماده ۹۹ و ۱۰۱ لایحه اصلاحی قانون تجارت - دارا بودن هیات رئیسه و امضاء آنها در ذیل تمامی صفحات صورتجلسات در خصوص شرکت های سهامی و موسساتی که این تکلیف در اساسنامه پیش بینی شده است در رعایت ماده ۱۰۱ لایحه اصلاحی قانون تجارت و تطبیق با تشریفات اساسنامه </w:t>
      </w:r>
    </w:p>
    <w:p>
      <w:pPr>
        <w:pStyle w:val="Bodytext101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00"/>
          <w:rFonts w:ascii="Microsoft Uighur" w:hAnsi="Microsoft Uighur" w:cs="Microsoft Uighur"/>
          <w:b/>
          <w:bCs/>
          <w:lang w:val="fa-IR" w:eastAsia="fa-IR"/>
        </w:rPr>
        <w:t xml:space="preserve">خصوص صورتجلسه مجامعی که با حضور اکثریت تشکیل می گردند ) در رعایت ماده ۹۷ و ۹۸ لایحه اصلاحی قانون تجارت و تطبیق با تشریفات دعوت در اساسنامه ) </w:t>
      </w:r>
    </w:p>
    <w:p>
      <w:pPr>
        <w:pStyle w:val="Bodytext101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0" w:h="16840"/>
          <w:pgMar w:top="362" w:right="1685" w:bottom="765" w:left="815" w:header="0" w:footer="3" w:gutter="0"/>
          <w:cols w:space="720"/>
          <w:bidi/>
          <w:docGrid w:linePitch="360"/>
        </w:sectPr>
      </w:pPr>
      <w:r>
        <w:rPr>
          <w:rStyle w:val="Bodytext100"/>
          <w:rFonts w:ascii="Microsoft Uighur" w:hAnsi="Microsoft Uighur" w:cs="Microsoft Uighur"/>
          <w:b/>
          <w:bCs/>
          <w:lang w:val="fa-IR" w:eastAsia="fa-IR"/>
        </w:rPr>
        <w:t xml:space="preserve">-۱۰ ارائه گواهی نقل و انتقال مالیاتی موضوع تبصره ۱ ماده ۱۴۳ قانون مالیاتهای مستقیم در خصوص نقل و انتقال سهام با نام در شرکت های سهامی </w:t>
      </w: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 id="_x0000_s1027" type="#_x0000_t75" style="width:47.05pt;height:67.2pt;margin-top:34.85pt;margin-left:483.55pt;mso-position-horizontal-relative:margin;mso-wrap-distance-left:9pt;mso-wrap-distance-right:9pt;position:absolute;z-index:-251656192">
            <v:imagedata r:id="rId4" o:title=""/>
            <w10:wrap type="square"/>
          </v:shape>
        </w:pict>
      </w:r>
    </w:p>
    <w:p>
      <w:pPr>
        <w:pStyle w:val="Bodytext30"/>
        <w:framePr w:wrap="auto"/>
        <w:spacing w:line="271" w:lineRule="auto"/>
        <w:ind w:firstLine="78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3"/>
          <w:lang w:val="ar-SA" w:eastAsia="ar-SA"/>
        </w:rPr>
        <w:t>(ن)</w:t>
      </w:r>
    </w:p>
    <w:p>
      <w:pPr>
        <w:pStyle w:val="Heading1101"/>
        <w:keepNext/>
        <w:keepLines/>
        <w:framePr w:wrap="auto"/>
        <w:spacing w:after="0" w:line="271" w:lineRule="auto"/>
        <w:ind w:firstLine="48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bookmarkStart w:id="4" w:name="bookmark0_1"/>
      <w:r>
        <w:rPr>
          <w:rStyle w:val="Heading1100"/>
          <w:rFonts w:ascii="Arial" w:hAnsi="Arial" w:cs="Arial"/>
          <w:i w:val="0"/>
          <w:iCs w:val="0"/>
          <w:color w:val="375836"/>
          <w:sz w:val="112"/>
          <w:szCs w:val="112"/>
        </w:rPr>
        <w:t>07</w:t>
      </w:r>
      <w:bookmarkEnd w:id="4"/>
    </w:p>
    <w:p>
      <w:pPr>
        <w:pStyle w:val="Bodytext30"/>
        <w:framePr w:wrap="auto"/>
        <w:spacing w:line="18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قوه قضائیه </w:t>
      </w:r>
    </w:p>
    <w:p>
      <w:pPr>
        <w:pStyle w:val="Heading210"/>
        <w:keepNext/>
        <w:keepLines/>
        <w:framePr w:wrap="auto"/>
        <w:spacing w:after="0" w:line="240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سازمان ثبت اسناد و املاک کشور </w:t>
      </w:r>
      <w:bookmarkStart w:id="5" w:name="bookmark2_1"/>
      <w:bookmarkEnd w:id="5"/>
    </w:p>
    <w:p>
      <w:pPr>
        <w:pStyle w:val="Bodytext10"/>
        <w:framePr w:wrap="auto"/>
        <w:tabs>
          <w:tab w:val="left" w:pos="858"/>
        </w:tabs>
        <w:spacing w:after="160" w:line="24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br w:type="column"/>
      </w: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٩٢٫١٩٥١٣ </w:t>
      </w:r>
    </w:p>
    <w:p>
      <w:pPr>
        <w:pStyle w:val="Bodytext10"/>
        <w:framePr w:wrap="auto"/>
        <w:tabs>
          <w:tab w:val="left" w:pos="858"/>
        </w:tabs>
        <w:spacing w:after="160" w:line="24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۱۳۹۲٫۰۲٫۰۸ </w:t>
      </w:r>
    </w:p>
    <w:p>
      <w:pPr>
        <w:pStyle w:val="Bodytext10"/>
        <w:framePr w:wrap="auto"/>
        <w:spacing w:line="24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footerReference w:type="default" r:id="rId13"/>
          <w:pgSz w:w="11900" w:h="16840"/>
          <w:pgMar w:top="362" w:right="4836" w:bottom="2218" w:left="815" w:header="0" w:footer="3" w:gutter="0"/>
          <w:pgNumType w:start="4"/>
          <w:cols w:num="2" w:space="1987"/>
          <w:bidi/>
          <w:docGrid w:linePitch="360"/>
        </w:sect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پیوست </w:t>
      </w:r>
    </w:p>
    <w:p>
      <w:pPr>
        <w:pStyle w:val="Bodytext11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1"/>
          <w:rFonts w:ascii="Microsoft Uighur" w:hAnsi="Microsoft Uighur" w:cs="Microsoft Uighur"/>
          <w:b/>
          <w:bCs/>
          <w:lang w:val="fa-IR" w:eastAsia="fa-IR" w:bidi="ar-SA"/>
        </w:rPr>
        <w:t xml:space="preserve">۱۱ ارائه اصل یا مصدق سند صلح تنظیم شده در دفاتر اسناد رسمی برای نقل و انتقال سهم الشركه شرکت با مسئولیت محدود ) در رعایت ماده ۱۰۳ قانون تجارت ) </w:t>
      </w:r>
    </w:p>
    <w:p>
      <w:pPr>
        <w:pStyle w:val="Bodytext11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1"/>
          <w:rFonts w:ascii="Microsoft Uighur" w:hAnsi="Microsoft Uighur" w:cs="Microsoft Uighur"/>
          <w:b/>
          <w:bCs/>
          <w:lang w:val="fa-IR" w:eastAsia="fa-IR" w:bidi="ar-SA"/>
        </w:rPr>
        <w:t xml:space="preserve">۱۲ درج کدپستی در خصوص صورتجلسات تغییر محل آدرس جدید ) و تکمیل فرم انتقال به شهرستان در خصوص تغییر محل به شهرستان ) در رعایت آیین نامه الزام درج کدپستی و بخشنامه صادره از سوی سازمان در این خصوص ) </w:t>
      </w:r>
    </w:p>
    <w:p>
      <w:pPr>
        <w:pStyle w:val="Bodytext11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1"/>
          <w:rFonts w:ascii="Microsoft Uighur" w:hAnsi="Microsoft Uighur" w:cs="Microsoft Uighur"/>
          <w:b/>
          <w:bCs/>
          <w:lang w:val="fa-IR" w:eastAsia="fa-IR" w:bidi="ar-SA"/>
        </w:rPr>
        <w:t xml:space="preserve">۱۳ ارائه احکام نمایندگی اشخاص حقوقی هیات رئیسه و هیات مدیره و سهامداران اشخاص حقوقی ) در رعایت ماده ۱۰۲ لایحه اصلاحی قانون تجارت و تطبیق با لیست سهامداران ) ۱۴ ارائه تصویر وکالتنامه برابر اصل در خصوص سمتهای وکالتی ) در خصوص هیات رئیسه یا سایر موارد در رعایت ماده ۱۰۲ لایحه اصلاحی قانون تجارت و تطبیق با لیست سهامداران ۱۵ در خصوص تبدیل نوع شرکت مدارک لازم ) اساسنامه و اظهارنامه و سایر مدارک با امضاء حاضرین ) ارائه گردد. </w:t>
      </w:r>
    </w:p>
    <w:p>
      <w:pPr>
        <w:pStyle w:val="Bodytext11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1"/>
          <w:rFonts w:ascii="Microsoft Uighur" w:hAnsi="Microsoft Uighur" w:cs="Microsoft Uighur"/>
          <w:b/>
          <w:bCs/>
          <w:lang w:val="fa-IR" w:eastAsia="fa-IR" w:bidi="ar-SA"/>
        </w:rPr>
        <w:t xml:space="preserve">-۱۶ در خصوص افزایش سرمایه شرکت سهامی ارائه دو نسخه اظهار نامه تکمیل شده با امضاء تمامی اعضای هیات مدیره و همچنین مدارک ذیل با توجه به محل افزایش سرمایه : </w:t>
      </w:r>
    </w:p>
    <w:p>
      <w:pPr>
        <w:pStyle w:val="Bodytext110"/>
        <w:framePr w:wrap="auto"/>
        <w:ind w:firstLine="8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1"/>
          <w:rFonts w:ascii="Microsoft Uighur" w:hAnsi="Microsoft Uighur" w:cs="Microsoft Uighur"/>
          <w:b/>
          <w:bCs/>
          <w:lang w:val="fa-IR" w:eastAsia="fa-IR" w:bidi="ar-SA"/>
        </w:rPr>
        <w:t xml:space="preserve">الف - از محل پرداخت نقدی : ارائه گواهی بانکی </w:t>
      </w:r>
    </w:p>
    <w:p>
      <w:pPr>
        <w:pStyle w:val="Bodytext110"/>
        <w:framePr w:wrap="auto"/>
        <w:ind w:firstLine="7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1"/>
          <w:rFonts w:ascii="Microsoft Uighur" w:hAnsi="Microsoft Uighur" w:cs="Microsoft Uighur"/>
          <w:b/>
          <w:bCs/>
          <w:lang w:val="fa-IR" w:eastAsia="fa-IR" w:bidi="ar-SA"/>
        </w:rPr>
        <w:t xml:space="preserve">ب - از محل مطالبات لیست مطالبات باید به تایید بازرس قانونی برسد. </w:t>
      </w:r>
    </w:p>
    <w:p>
      <w:pPr>
        <w:pStyle w:val="Bodytext110"/>
        <w:framePr w:wrap="auto"/>
        <w:ind w:firstLine="7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1"/>
          <w:rFonts w:ascii="Microsoft Uighur" w:hAnsi="Microsoft Uighur" w:cs="Microsoft Uighur"/>
          <w:b/>
          <w:bCs/>
          <w:lang w:val="fa-IR" w:eastAsia="fa-IR" w:bidi="ar-SA"/>
        </w:rPr>
        <w:t xml:space="preserve">ج - از محل سود لیست پس از افزایش سرمایه به تایید هیات مدیره </w:t>
      </w:r>
    </w:p>
    <w:p>
      <w:pPr>
        <w:pStyle w:val="Bodytext110"/>
        <w:framePr w:wrap="auto"/>
        <w:spacing w:line="343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1"/>
          <w:rFonts w:ascii="Microsoft Uighur" w:hAnsi="Microsoft Uighur" w:cs="Microsoft Uighur"/>
          <w:b/>
          <w:bCs/>
          <w:lang w:val="fa-IR" w:eastAsia="fa-IR" w:bidi="ar-SA"/>
        </w:rPr>
        <w:t xml:space="preserve">) در رعایت مواد ۱۵۸ الی ۱۸۳ لایحه اصلاحی قانون تجارت ) </w:t>
      </w:r>
    </w:p>
    <w:p>
      <w:pPr>
        <w:pStyle w:val="Bodytext110"/>
        <w:framePr w:wrap="auto"/>
        <w:spacing w:line="343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1"/>
          <w:rFonts w:ascii="Microsoft Uighur" w:hAnsi="Microsoft Uighur" w:cs="Microsoft Uighur"/>
          <w:b/>
          <w:bCs/>
          <w:lang w:val="fa-IR" w:eastAsia="fa-IR" w:bidi="ar-SA"/>
        </w:rPr>
        <w:t xml:space="preserve">۱۷ ارائه مجوزهای لازم حسب مورد در خصوص تغییرات موضوع و ماهیت شرکت ۱۸ تطابق دستور جلسه با صلاحیت مجامع مانند : در رعایت ماده ۱۰۰ ل. ا. ق. ت) </w:t>
      </w:r>
    </w:p>
    <w:p>
      <w:pPr>
        <w:pStyle w:val="Bodytext110"/>
        <w:framePr w:wrap="auto"/>
        <w:spacing w:line="329" w:lineRule="auto"/>
        <w:ind w:right="7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1"/>
          <w:rFonts w:ascii="Microsoft Uighur" w:hAnsi="Microsoft Uighur" w:cs="Microsoft Uighur"/>
          <w:b/>
          <w:bCs/>
          <w:lang w:val="fa-IR" w:eastAsia="fa-IR" w:bidi="ar-SA"/>
        </w:rPr>
        <w:t xml:space="preserve">الف انتخاب مدیران و بازرسان و روزنامه کثیر الانتشار و تصویب تراز نامه در صلاحیت مجمع عمومی عادی </w:t>
      </w:r>
    </w:p>
    <w:p>
      <w:pPr>
        <w:pStyle w:val="Bodytext110"/>
        <w:framePr w:wrap="auto"/>
        <w:ind w:right="7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1"/>
          <w:rFonts w:ascii="Microsoft Uighur" w:hAnsi="Microsoft Uighur" w:cs="Microsoft Uighur"/>
          <w:b/>
          <w:bCs/>
          <w:lang w:val="fa-IR" w:eastAsia="fa-IR" w:bidi="ar-SA"/>
        </w:rPr>
        <w:t xml:space="preserve">ب تغییر اساسنامه و موضوع و نام و تغییر مواد اساسنامه و تعداد اعضای هیات مدیره در صلاحیت مجمع عمومی فوق العاده در رعایت مواد ۷۴ و ۸۳ و ۸۶ لایحه اصلاحی قانون تجارت و تطبیق با اساسنامه ) </w:t>
      </w:r>
    </w:p>
    <w:p>
      <w:pPr>
        <w:pStyle w:val="Bodytext11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00" w:h="16840"/>
          <w:pgMar w:top="362" w:right="1633" w:bottom="765" w:left="815" w:header="0" w:footer="3" w:gutter="0"/>
          <w:cols w:space="720"/>
          <w:bidi/>
          <w:docGrid w:linePitch="360"/>
        </w:sectPr>
      </w:pPr>
      <w:r>
        <w:rPr>
          <w:rStyle w:val="Bodytext11"/>
          <w:rFonts w:ascii="Microsoft Uighur" w:hAnsi="Microsoft Uighur" w:cs="Microsoft Uighur"/>
          <w:b/>
          <w:bCs/>
          <w:lang w:val="fa-IR" w:eastAsia="fa-IR" w:bidi="ar-SA"/>
        </w:rPr>
        <w:t xml:space="preserve">۱۹ ارائه اصل وکالتنامه وکلاء دادگستری با لحاظ شرایط قانونی ( الصاق تمبر ، مشخصات موکل و سایر موارد ) </w:t>
      </w: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 id="_x0000_s1028" type="#_x0000_t75" style="width:47.05pt;height:67.2pt;margin-top:34.85pt;margin-left:483.55pt;mso-position-horizontal-relative:margin;mso-wrap-distance-left:9pt;mso-wrap-distance-right:9pt;position:absolute;z-index:-251655168">
            <v:imagedata r:id="rId4" o:title=""/>
            <w10:wrap type="square"/>
          </v:shape>
        </w:pict>
      </w:r>
    </w:p>
    <w:p>
      <w:pPr>
        <w:pStyle w:val="Bodytext30"/>
        <w:framePr w:wrap="auto"/>
        <w:spacing w:line="271" w:lineRule="auto"/>
        <w:ind w:firstLine="78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</w:t>
      </w:r>
    </w:p>
    <w:p>
      <w:pPr>
        <w:pStyle w:val="Heading110"/>
        <w:keepNext/>
        <w:keepLines/>
        <w:framePr w:wrap="auto"/>
        <w:spacing w:after="0" w:line="271" w:lineRule="auto"/>
        <w:ind w:firstLine="48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b/>
          <w:bCs/>
          <w:i w:val="0"/>
          <w:iCs w:val="0"/>
          <w:lang w:val="fa-IR" w:eastAsia="fa-IR"/>
        </w:rPr>
        <w:t xml:space="preserve">() </w:t>
      </w:r>
      <w:bookmarkStart w:id="6" w:name="bookmark0_2"/>
      <w:bookmarkEnd w:id="6"/>
    </w:p>
    <w:p>
      <w:pPr>
        <w:pStyle w:val="Bodytext30"/>
        <w:framePr w:wrap="auto"/>
        <w:spacing w:line="18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قوه قضائیه </w:t>
      </w:r>
    </w:p>
    <w:p>
      <w:pPr>
        <w:pStyle w:val="Heading210"/>
        <w:keepNext/>
        <w:keepLines/>
        <w:framePr w:wrap="auto"/>
        <w:spacing w:after="0" w:line="240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سازمان ثبت اسناد و املاک کشور </w:t>
      </w:r>
      <w:bookmarkStart w:id="7" w:name="bookmark2_2"/>
      <w:bookmarkEnd w:id="7"/>
    </w:p>
    <w:p>
      <w:pPr>
        <w:pStyle w:val="Bodytext20"/>
        <w:framePr w:wrap="auto"/>
        <w:tabs>
          <w:tab w:val="left" w:pos="858"/>
        </w:tabs>
        <w:spacing w:after="10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br w:type="column"/>
      </w:r>
      <w:r>
        <w:rPr>
          <w:rStyle w:val="Bodytext2"/>
          <w:rFonts w:ascii="Microsoft Uighur" w:hAnsi="Microsoft Uighur" w:cs="Microsoft Uighur"/>
          <w:lang w:val="fa-IR" w:eastAsia="fa-IR"/>
        </w:rPr>
        <w:t xml:space="preserve">٩٢٫١٩٥١٣ </w:t>
      </w:r>
    </w:p>
    <w:p>
      <w:pPr>
        <w:pStyle w:val="Bodytext20"/>
        <w:framePr w:wrap="auto"/>
        <w:tabs>
          <w:tab w:val="left" w:pos="858"/>
        </w:tabs>
        <w:spacing w:after="10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۱۳۹۲٫۰۲٫۰۸ </w:t>
      </w:r>
    </w:p>
    <w:p>
      <w:pPr>
        <w:pStyle w:val="Bodytext20"/>
        <w:framePr w:wrap="auto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footerReference w:type="default" r:id="rId20"/>
          <w:pgSz w:w="11900" w:h="16840"/>
          <w:pgMar w:top="362" w:right="4836" w:bottom="7460" w:left="815" w:header="0" w:footer="3" w:gutter="0"/>
          <w:pgNumType w:start="5"/>
          <w:cols w:num="2" w:space="1987"/>
          <w:bidi/>
          <w:docGrid w:linePitch="360"/>
        </w:sect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پیوست </w:t>
      </w:r>
    </w:p>
    <w:p>
      <w:pPr>
        <w:pStyle w:val="Bodytext20"/>
        <w:framePr w:wrap="auto"/>
        <w:spacing w:line="324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۲۰ عدم وجود صورتجلسه بلا تکلیف در پرونده ثبتی </w:t>
      </w:r>
    </w:p>
    <w:p>
      <w:pPr>
        <w:pStyle w:val="Bodytext20"/>
        <w:framePr w:wrap="auto"/>
        <w:spacing w:line="324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۲۱- عدم ارائه تصمیمات همزمان صورتجلسات مربوط به سیستم مکانیزه در موارد : </w:t>
      </w:r>
    </w:p>
    <w:p>
      <w:pPr>
        <w:pStyle w:val="Bodytext20"/>
        <w:framePr w:wrap="auto"/>
        <w:spacing w:line="324" w:lineRule="auto"/>
        <w:ind w:firstLine="7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( الف : افزایش و کاهش همزمان سرمایه </w:t>
      </w:r>
    </w:p>
    <w:p>
      <w:pPr>
        <w:pStyle w:val="Bodytext20"/>
        <w:framePr w:wrap="auto"/>
        <w:spacing w:line="324" w:lineRule="auto"/>
        <w:ind w:firstLine="7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ب تبدیل نوع سهام همزمان با نقل و انتقال </w:t>
      </w:r>
    </w:p>
    <w:p>
      <w:pPr>
        <w:pStyle w:val="Bodytext20"/>
        <w:framePr w:wrap="auto"/>
        <w:spacing w:line="324" w:lineRule="auto"/>
        <w:ind w:firstLine="7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ج نقل و انتقال سهام یا سهم الشرکه همزمان با انتخاب هیات مدیره ) </w:t>
      </w:r>
    </w:p>
    <w:p>
      <w:pPr>
        <w:pStyle w:val="Bodytext20"/>
        <w:framePr w:wrap="auto"/>
        <w:spacing w:line="324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۲۲ در شرکتهای تجاری اقرار عدم منع قانونی مدیران و بازرسان و رعایت عدم سوء پیشینه در متن آگهی بیان شود یا گواهی سوء پیشینه و اقرار نامه ضمیمه صورتجلسه گردد در رعایت بخشنامه صادره از سوی رئیس سازمان ) </w:t>
      </w:r>
    </w:p>
    <w:p>
      <w:pPr>
        <w:pStyle w:val="Bodytext20"/>
        <w:framePr w:wrap="auto"/>
        <w:spacing w:line="324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۲۳- رعایت مفاد قانونی مواد ۴۴ و ۴۷ ل. ا ق ت در زمان اخذ صورتجلسات متضمن تبدیل نوع سهام </w:t>
      </w:r>
    </w:p>
    <w:p>
      <w:pPr>
        <w:pStyle w:val="Bodytext20"/>
        <w:framePr w:wrap="auto"/>
        <w:spacing w:line="36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۲۴ تصویر برابر اصل پاسپورت و ترجمه رسمی آن در مواردی که شریک یا سهامدار شخص حقیقی غیر ایرانی باشد. </w:t>
      </w:r>
    </w:p>
    <w:p>
      <w:pPr>
        <w:pStyle w:val="Bodytext20"/>
        <w:framePr w:wrap="auto"/>
        <w:spacing w:line="36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۲۵ تصویر برابر اصل مستندات و ترجمه رسمی آن در مواردی که شریک یا سهامدار شخص حقوقی خارجی باشد. </w:t>
      </w:r>
    </w:p>
    <w:sectPr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type w:val="continuous"/>
      <w:pgSz w:w="11900" w:h="16840"/>
      <w:pgMar w:top="362" w:right="1685" w:bottom="765" w:left="815" w:header="0" w:footer="3" w:gutter="0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roman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  <w:font w:name="Courier New">
    <w:charset w:val="B2"/>
    <w:family w:val="modern"/>
    <w:pitch w:val="default"/>
    <w:sig w:usb0="00000000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71.45pt;height:6.9pt;margin-top:803.75pt;margin-left:255pt;mso-position-horizontal-relative:page;mso-position-vertical-relative:page;mso-wrap-distance-left:0;mso-wrap-distance-right:0;mso-wrap-style:none;position:absolute;z-index:-251658240" filled="f" stroked="f">
          <v:textbox style="mso-fit-shape-to-text:t" inset="0,0,0,0">
            <w:txbxContent>
              <w:p>
                <w:pPr>
                  <w:pStyle w:val="Headerorfooter2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  <w:color w:val="014F00"/>
                    <w:sz w:val="28"/>
                    <w:szCs w:val="28"/>
                  </w:rPr>
                  <w:t>www.ssaa.ir</w:t>
                </w:r>
              </w:p>
            </w:txbxContent>
          </v:textbox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width:71.45pt;height:6.9pt;margin-top:803.75pt;margin-left:255pt;mso-position-horizontal-relative:page;mso-position-vertical-relative:page;mso-wrap-distance-left:0;mso-wrap-distance-right:0;mso-wrap-style:none;position:absolute;z-index:-251655168" filled="f" stroked="f">
          <v:textbox style="mso-fit-shape-to-text:t" inset="0,0,0,0">
            <w:txbxContent>
              <w:p>
                <w:pPr>
                  <w:pStyle w:val="Headerorfooter1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color w:val="auto"/>
                    <w:sz w:val="24"/>
                    <w:szCs w:val="24"/>
                    <w:u w:val="none"/>
                  </w:rPr>
                </w:pPr>
                <w:r>
                  <w:rPr>
                    <w:rStyle w:val="Headerorfooter1"/>
                  </w:rPr>
                  <w:t>www.ssaa.ir</w:t>
                </w:r>
              </w:p>
            </w:txbxContent>
          </v:textbox>
        </v:shape>
      </w:pic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width:71.45pt;height:6.9pt;margin-top:803.75pt;margin-left:255pt;mso-position-horizontal-relative:page;mso-position-vertical-relative:page;mso-wrap-distance-left:0;mso-wrap-distance-right:0;mso-wrap-style:none;position:absolute;z-index:-251657216" filled="f" stroked="f">
          <v:textbox style="mso-fit-shape-to-text:t" inset="0,0,0,0">
            <w:txbxContent>
              <w:p>
                <w:pPr>
                  <w:pStyle w:val="Headerorfooter1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color w:val="auto"/>
                    <w:sz w:val="24"/>
                    <w:szCs w:val="24"/>
                    <w:u w:val="none"/>
                  </w:rPr>
                </w:pPr>
                <w:r>
                  <w:rPr>
                    <w:rStyle w:val="Headerorfooter1"/>
                    <w:b/>
                    <w:bCs/>
                    <w:sz w:val="26"/>
                    <w:szCs w:val="26"/>
                  </w:rPr>
                  <w:t>www.ssaa.ir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width:71.45pt;height:6.9pt;margin-top:803.75pt;margin-left:255pt;mso-position-horizontal-relative:page;mso-position-vertical-relative:page;mso-wrap-distance-left:0;mso-wrap-distance-right:0;mso-wrap-style:none;position:absolute;z-index:-251656192" filled="f" stroked="f">
          <v:textbox style="mso-fit-shape-to-text:t" inset="0,0,0,0">
            <w:txbxContent>
              <w:p>
                <w:pPr>
                  <w:pStyle w:val="Headerorfooter1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color w:val="auto"/>
                    <w:sz w:val="24"/>
                    <w:szCs w:val="24"/>
                    <w:u w:val="none"/>
                  </w:rPr>
                </w:pPr>
                <w:r>
                  <w:rPr>
                    <w:rStyle w:val="Headerorfooter1"/>
                  </w:rPr>
                  <w:t>www.ssaa.ir</w:t>
                </w:r>
              </w:p>
            </w:txbxContent>
          </v:textbox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bidi="ar-SA"/>
    </w:rPr>
  </w:style>
  <w:style w:type="character" w:customStyle="1" w:styleId="Headerorfooter2">
    <w:name w:val="Header or footer|2_"/>
    <w:basedOn w:val="DefaultParagraphFont"/>
    <w:link w:val="Headerorfooter20"/>
    <w:uiPriority w:val="99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/>
    </w:rPr>
  </w:style>
  <w:style w:type="character" w:customStyle="1" w:styleId="Other1">
    <w:name w:val="Other|1_"/>
    <w:basedOn w:val="DefaultParagraphFont"/>
    <w:link w:val="Other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bidi="ar-SA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Microsoft Uighur" w:hAnsi="Microsoft Uighur" w:cs="Microsoft Uighur"/>
      <w:b w:val="0"/>
      <w:bCs w:val="0"/>
      <w:i/>
      <w:iCs/>
      <w:smallCaps w:val="0"/>
      <w:strike w:val="0"/>
      <w:color w:val="000000"/>
      <w:spacing w:val="0"/>
      <w:w w:val="100"/>
      <w:position w:val="0"/>
      <w:sz w:val="44"/>
      <w:szCs w:val="44"/>
      <w:u w:val="none"/>
      <w:lang w:bidi="ar-SA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bidi="ar-SA"/>
    </w:rPr>
  </w:style>
  <w:style w:type="character" w:customStyle="1" w:styleId="Heading21">
    <w:name w:val="Heading #2|1_"/>
    <w:basedOn w:val="DefaultParagraphFont"/>
    <w:link w:val="Heading21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0" w:line="240" w:lineRule="auto"/>
      <w:ind w:left="0" w:right="0" w:firstLine="0"/>
      <w:jc w:val="center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30"/>
      <w:szCs w:val="30"/>
      <w:u w:val="none"/>
    </w:rPr>
  </w:style>
  <w:style w:type="paragraph" w:customStyle="1" w:styleId="Headerorfooter20">
    <w:name w:val="Header or footer|2"/>
    <w:basedOn w:val="Normal"/>
    <w:link w:val="Headerorfooter2"/>
    <w:uiPriority w:val="99"/>
    <w:pPr>
      <w:bidi w:val="0"/>
      <w:spacing w:before="0" w:after="0" w:line="240" w:lineRule="auto"/>
      <w:ind w:left="0" w:right="0" w:firstLine="0"/>
      <w:jc w:val="left"/>
    </w:pPr>
    <w:rPr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  <w:lang w:val="en-US" w:eastAsia="en-US"/>
    </w:rPr>
  </w:style>
  <w:style w:type="paragraph" w:customStyle="1" w:styleId="Other10">
    <w:name w:val="Other|1"/>
    <w:basedOn w:val="Normal"/>
    <w:link w:val="Other1"/>
    <w:uiPriority w:val="99"/>
    <w:pPr>
      <w:bidi/>
      <w:spacing w:before="0" w:after="0" w:line="415" w:lineRule="auto"/>
      <w:ind w:left="0" w:right="0" w:firstLine="30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2"/>
      <w:szCs w:val="22"/>
      <w:u w:val="none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120" w:line="240" w:lineRule="auto"/>
      <w:ind w:left="0" w:right="0" w:firstLine="0"/>
      <w:jc w:val="left"/>
      <w:outlineLvl w:val="0"/>
    </w:pPr>
    <w:rPr>
      <w:rFonts w:ascii="Microsoft Uighur" w:hAnsi="Microsoft Uighur" w:cs="Microsoft Uighur"/>
      <w:b w:val="0"/>
      <w:bCs w:val="0"/>
      <w:i/>
      <w:iCs/>
      <w:smallCaps w:val="0"/>
      <w:strike w:val="0"/>
      <w:color w:val="auto"/>
      <w:spacing w:val="0"/>
      <w:w w:val="100"/>
      <w:position w:val="0"/>
      <w:sz w:val="44"/>
      <w:szCs w:val="44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0" w:line="415" w:lineRule="auto"/>
      <w:ind w:left="0" w:right="0" w:firstLine="30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2"/>
      <w:szCs w:val="22"/>
      <w:u w:val="none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30" w:line="334" w:lineRule="auto"/>
      <w:ind w:left="0" w:right="0" w:firstLine="0"/>
      <w:jc w:val="center"/>
      <w:outlineLvl w:val="1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26"/>
      <w:szCs w:val="26"/>
      <w:u w:val="none"/>
    </w:rPr>
  </w:style>
  <w:style w:type="character" w:customStyle="1" w:styleId="Headerorfooter1">
    <w:name w:val="Header or footer|1_"/>
    <w:basedOn w:val="DefaultParagraphFont"/>
    <w:link w:val="Headerorfooter10"/>
    <w:uiPriority w:val="99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14F00"/>
      <w:spacing w:val="0"/>
      <w:w w:val="100"/>
      <w:position w:val="0"/>
      <w:sz w:val="28"/>
      <w:szCs w:val="28"/>
      <w:u w:val="none"/>
      <w:lang w:val="en-US" w:eastAsia="en-US"/>
    </w:rPr>
  </w:style>
  <w:style w:type="paragraph" w:customStyle="1" w:styleId="Headerorfooter10">
    <w:name w:val="Header or footer|1"/>
    <w:basedOn w:val="Normal"/>
    <w:link w:val="Headerorfooter1"/>
    <w:uiPriority w:val="99"/>
    <w:pPr>
      <w:bidi w:val="0"/>
      <w:spacing w:before="0" w:after="0" w:line="240" w:lineRule="auto"/>
      <w:ind w:left="0" w:right="0" w:firstLine="0"/>
      <w:jc w:val="left"/>
    </w:pPr>
    <w:rPr>
      <w:b w:val="0"/>
      <w:bCs w:val="0"/>
      <w:i w:val="0"/>
      <w:iCs w:val="0"/>
      <w:smallCaps w:val="0"/>
      <w:strike w:val="0"/>
      <w:color w:val="014F00"/>
      <w:spacing w:val="0"/>
      <w:w w:val="100"/>
      <w:position w:val="0"/>
      <w:sz w:val="28"/>
      <w:szCs w:val="28"/>
      <w:u w:val="none"/>
      <w:lang w:val="en-US" w:eastAsia="en-US"/>
    </w:rPr>
  </w:style>
  <w:style w:type="character" w:customStyle="1" w:styleId="Bodytext3">
    <w:name w:val="Body text|3_"/>
    <w:basedOn w:val="DefaultParagraphFont"/>
    <w:link w:val="Bodytext3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75836"/>
      <w:spacing w:val="0"/>
      <w:w w:val="100"/>
      <w:position w:val="0"/>
      <w:sz w:val="40"/>
      <w:szCs w:val="40"/>
      <w:u w:val="none"/>
      <w:lang w:bidi="ar-SA"/>
    </w:rPr>
  </w:style>
  <w:style w:type="paragraph" w:customStyle="1" w:styleId="Bodytext30">
    <w:name w:val="Body text|3"/>
    <w:basedOn w:val="Normal"/>
    <w:link w:val="Bodytext3"/>
    <w:uiPriority w:val="99"/>
    <w:pPr>
      <w:bidi/>
      <w:spacing w:before="0" w:after="0" w:line="226" w:lineRule="auto"/>
      <w:ind w:left="0" w:right="0" w:firstLine="390"/>
      <w:jc w:val="center"/>
    </w:pPr>
    <w:rPr>
      <w:rFonts w:ascii="Arial" w:hAnsi="Arial" w:cs="Arial"/>
      <w:b w:val="0"/>
      <w:bCs w:val="0"/>
      <w:i w:val="0"/>
      <w:iCs w:val="0"/>
      <w:smallCaps w:val="0"/>
      <w:strike w:val="0"/>
      <w:color w:val="375836"/>
      <w:spacing w:val="0"/>
      <w:w w:val="100"/>
      <w:position w:val="0"/>
      <w:sz w:val="40"/>
      <w:szCs w:val="40"/>
      <w:u w:val="none"/>
    </w:rPr>
  </w:style>
  <w:style w:type="character" w:customStyle="1" w:styleId="Heading1100">
    <w:name w:val="Heading #1|1__0"/>
    <w:basedOn w:val="DefaultParagraphFont"/>
    <w:link w:val="Heading1101"/>
    <w:uiPriority w:val="99"/>
    <w:rPr>
      <w:rFonts w:ascii="Microsoft Uighur" w:hAnsi="Microsoft Uighur" w:cs="Microsoft Uighur"/>
      <w:b w:val="0"/>
      <w:bCs w:val="0"/>
      <w:i/>
      <w:iCs/>
      <w:smallCaps w:val="0"/>
      <w:strike w:val="0"/>
      <w:color w:val="000000"/>
      <w:spacing w:val="0"/>
      <w:w w:val="100"/>
      <w:position w:val="0"/>
      <w:sz w:val="44"/>
      <w:szCs w:val="44"/>
      <w:u w:val="none"/>
      <w:lang w:val="en-US" w:eastAsia="en-US"/>
    </w:rPr>
  </w:style>
  <w:style w:type="paragraph" w:customStyle="1" w:styleId="Heading1101">
    <w:name w:val="Heading #1|1_0"/>
    <w:basedOn w:val="Normal"/>
    <w:link w:val="Heading1100"/>
    <w:uiPriority w:val="99"/>
    <w:pPr>
      <w:bidi/>
      <w:spacing w:before="0" w:after="120" w:line="240" w:lineRule="auto"/>
      <w:ind w:left="0" w:right="0" w:firstLine="0"/>
      <w:jc w:val="left"/>
      <w:outlineLvl w:val="0"/>
    </w:pPr>
    <w:rPr>
      <w:rFonts w:ascii="Microsoft Uighur" w:hAnsi="Microsoft Uighur" w:cs="Microsoft Uighur"/>
      <w:b w:val="0"/>
      <w:bCs w:val="0"/>
      <w:i/>
      <w:iCs/>
      <w:smallCaps w:val="0"/>
      <w:strike w:val="0"/>
      <w:color w:val="auto"/>
      <w:spacing w:val="0"/>
      <w:w w:val="100"/>
      <w:position w:val="0"/>
      <w:sz w:val="44"/>
      <w:szCs w:val="44"/>
      <w:u w:val="none"/>
      <w:lang w:val="en-US" w:eastAsia="en-US"/>
    </w:rPr>
  </w:style>
  <w:style w:type="character" w:customStyle="1" w:styleId="Bodytext100">
    <w:name w:val="Body text|1__0"/>
    <w:basedOn w:val="DefaultParagraphFont"/>
    <w:link w:val="Bodytext101"/>
    <w:uiPriority w:val="99"/>
    <w:rPr>
      <w:rFonts w:ascii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paragraph" w:customStyle="1" w:styleId="Bodytext101">
    <w:name w:val="Body text|1_0"/>
    <w:basedOn w:val="Normal"/>
    <w:link w:val="Bodytext100"/>
    <w:uiPriority w:val="99"/>
    <w:pPr>
      <w:bidi/>
      <w:spacing w:before="0" w:after="0" w:line="389" w:lineRule="auto"/>
      <w:ind w:left="0" w:right="0" w:firstLine="0"/>
      <w:jc w:val="left"/>
    </w:pPr>
    <w:rPr>
      <w:rFonts w:ascii="Courier New" w:hAnsi="Courier New" w:cs="Courier New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character" w:customStyle="1" w:styleId="Bodytext11">
    <w:name w:val="Body text|1__1"/>
    <w:basedOn w:val="DefaultParagraphFont"/>
    <w:link w:val="Bodytext110"/>
    <w:uiPriority w:val="9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paragraph" w:customStyle="1" w:styleId="Bodytext110">
    <w:name w:val="Body text|1_1"/>
    <w:basedOn w:val="Normal"/>
    <w:link w:val="Bodytext11"/>
    <w:uiPriority w:val="99"/>
    <w:pPr>
      <w:bidi/>
      <w:spacing w:before="0" w:after="0" w:line="360" w:lineRule="auto"/>
      <w:ind w:left="0" w:right="0" w:firstLine="0"/>
      <w:jc w:val="left"/>
    </w:pPr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6"/>
      <w:szCs w:val="26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4.xml" /><Relationship Id="rId11" Type="http://schemas.openxmlformats.org/officeDocument/2006/relationships/header" Target="header3.xml" /><Relationship Id="rId12" Type="http://schemas.openxmlformats.org/officeDocument/2006/relationships/footer" Target="footer5.xml" /><Relationship Id="rId13" Type="http://schemas.openxmlformats.org/officeDocument/2006/relationships/footer" Target="footer6.xml" /><Relationship Id="rId14" Type="http://schemas.openxmlformats.org/officeDocument/2006/relationships/header" Target="header4.xml" /><Relationship Id="rId15" Type="http://schemas.openxmlformats.org/officeDocument/2006/relationships/header" Target="header5.xml" /><Relationship Id="rId16" Type="http://schemas.openxmlformats.org/officeDocument/2006/relationships/footer" Target="footer7.xml" /><Relationship Id="rId17" Type="http://schemas.openxmlformats.org/officeDocument/2006/relationships/footer" Target="footer8.xml" /><Relationship Id="rId18" Type="http://schemas.openxmlformats.org/officeDocument/2006/relationships/header" Target="header6.xml" /><Relationship Id="rId19" Type="http://schemas.openxmlformats.org/officeDocument/2006/relationships/footer" Target="footer9.xml" /><Relationship Id="rId2" Type="http://schemas.openxmlformats.org/officeDocument/2006/relationships/webSettings" Target="webSettings.xml" /><Relationship Id="rId20" Type="http://schemas.openxmlformats.org/officeDocument/2006/relationships/footer" Target="footer10.xml" /><Relationship Id="rId21" Type="http://schemas.openxmlformats.org/officeDocument/2006/relationships/header" Target="header7.xml" /><Relationship Id="rId22" Type="http://schemas.openxmlformats.org/officeDocument/2006/relationships/header" Target="header8.xml" /><Relationship Id="rId23" Type="http://schemas.openxmlformats.org/officeDocument/2006/relationships/footer" Target="footer11.xml" /><Relationship Id="rId24" Type="http://schemas.openxmlformats.org/officeDocument/2006/relationships/footer" Target="footer12.xml" /><Relationship Id="rId25" Type="http://schemas.openxmlformats.org/officeDocument/2006/relationships/header" Target="header9.xml" /><Relationship Id="rId26" Type="http://schemas.openxmlformats.org/officeDocument/2006/relationships/footer" Target="footer13.xml" /><Relationship Id="rId27" Type="http://schemas.openxmlformats.org/officeDocument/2006/relationships/theme" Target="theme/theme1.xml" /><Relationship Id="rId28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