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501" w:h="1094" w:hRule="atLeast" w:wrap="none" w:vAnchor="margin" w:hAnchor="margin" w:x="9233" w:y="351"/>
        <w:spacing w:after="10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شماره : </w:t>
      </w:r>
    </w:p>
    <w:p>
      <w:pPr>
        <w:pStyle w:val="Bodytext20"/>
        <w:framePr w:w="501" w:h="1094" w:hRule="atLeast" w:wrap="none" w:vAnchor="margin" w:hAnchor="margin" w:x="9233" w:y="351"/>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تاریخ ۱۷۹۲٫۹٫۳ </w:t>
      </w:r>
    </w:p>
    <w:p>
      <w:pPr>
        <w:pStyle w:val="Bodytext20"/>
        <w:framePr w:w="501" w:h="1094" w:hRule="atLeast" w:wrap="none" w:vAnchor="margin" w:hAnchor="margin" w:x="9233" w:y="351"/>
        <w:spacing w:after="6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پوست </w:t>
      </w:r>
    </w:p>
    <w:p>
      <w:pPr>
        <w:pStyle w:val="Bodytext30"/>
        <w:framePr w:w="1549" w:h="1480" w:hRule="atLeast" w:wrap="none" w:vAnchor="margin" w:hAnchor="margin" w:x="7413" w:y="121"/>
        <w:spacing w:after="200"/>
        <w:ind w:left="0" w:firstLine="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٢٥٩٠٢٥ </w:t>
      </w:r>
    </w:p>
    <w:p>
      <w:pPr>
        <w:pStyle w:val="Bodytext30"/>
        <w:framePr w:w="1549" w:h="1480" w:hRule="atLeast" w:wrap="none" w:vAnchor="margin" w:hAnchor="margin" w:x="7413" w:y="121"/>
        <w:spacing w:after="0"/>
        <w:ind w:left="0" w:right="700" w:hanging="70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تاریخ ۱۷۹۲٫۹٫۳ ندارد </w:t>
      </w:r>
    </w:p>
    <w:p>
      <w:pPr>
        <w:pStyle w:val="Bodytext40"/>
        <w:framePr w:w="2500" w:h="1941" w:hRule="atLeast" w:wrap="none" w:vAnchor="margin" w:hAnchor="margin" w:x="3525" w:y="1020"/>
        <w:rPr>
          <w:rFonts w:ascii="Times New Roman" w:hAnsi="Times New Roman" w:cs="Times New Roman"/>
          <w:b w:val="0"/>
          <w:bCs w:val="0"/>
          <w:i w:val="0"/>
          <w:iCs w:val="0"/>
          <w:smallCaps w:val="0"/>
          <w:strike w:val="0"/>
          <w:sz w:val="24"/>
          <w:szCs w:val="24"/>
          <w:u w:val="none"/>
        </w:rPr>
      </w:pPr>
      <w:r>
        <w:rPr>
          <w:rStyle w:val="Bodytext4"/>
          <w:b/>
          <w:bCs/>
          <w:i w:val="0"/>
          <w:iCs w:val="0"/>
          <w:lang w:val="fa-IR" w:eastAsia="fa-IR"/>
        </w:rPr>
        <w:t xml:space="preserve">با نکات مرکزی جمهوری اسلامی ایران </w:t>
      </w:r>
    </w:p>
    <w:p>
      <w:pPr>
        <w:pStyle w:val="Heading110"/>
        <w:keepNext/>
        <w:keepLines/>
        <w:framePr w:w="2500" w:h="1941" w:hRule="atLeast" w:wrap="none" w:vAnchor="margin" w:hAnchor="margin" w:x="3525" w:y="102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به قالی </w:t>
      </w:r>
      <w:bookmarkStart w:id="0" w:name="bookmark0"/>
      <w:bookmarkEnd w:id="0"/>
    </w:p>
    <w:p>
      <w:pPr>
        <w:pStyle w:val="Bodytext20"/>
        <w:framePr w:w="6077" w:h="1394" w:hRule="atLeast" w:wrap="none" w:vAnchor="margin" w:hAnchor="margin" w:x="2771" w:y="3220"/>
        <w:spacing w:after="320"/>
        <w:ind w:right="184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سال ۱۳۹۲، سال حماسه سیاسی حماسه اقتصادی </w:t>
      </w:r>
    </w:p>
    <w:p>
      <w:pPr>
        <w:pStyle w:val="Bodytext10"/>
        <w:framePr w:w="6077" w:h="1394" w:hRule="atLeast" w:wrap="none" w:vAnchor="margin" w:hAnchor="margin" w:x="2771" w:y="3220"/>
        <w:spacing w:after="2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جناب آقای ادب </w:t>
      </w:r>
    </w:p>
    <w:p>
      <w:pPr>
        <w:pStyle w:val="Bodytext10"/>
        <w:framePr w:w="6077" w:h="1394" w:hRule="atLeast" w:wrap="none" w:vAnchor="margin" w:hAnchor="margin" w:x="2771" w:y="3220"/>
        <w:spacing w:after="26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مدیر کل محترم ثبت شرکتها و موسسات غیر تجاری </w:t>
      </w:r>
    </w:p>
    <w:p>
      <w:pPr>
        <w:pStyle w:val="Bodytext10"/>
        <w:framePr w:w="8271" w:h="6831" w:hRule="atLeast" w:wrap="none" w:vAnchor="margin" w:hAnchor="margin" w:x="576" w:y="5029"/>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سلام و احترام </w:t>
      </w:r>
    </w:p>
    <w:p>
      <w:pPr>
        <w:pStyle w:val="Bodytext10"/>
        <w:framePr w:w="8271" w:h="6831" w:hRule="atLeast" w:wrap="none" w:vAnchor="margin" w:hAnchor="margin" w:x="576" w:y="5029"/>
        <w:ind w:firstLine="7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بازگشت به نامه شماره ۹۲٫۱۳۰۶۶۳ مورخ ۱۳۹۲٫۰۷٫۲۹ در ارتباط با آخرین الزامات و مستندات قانونی و مدارک مورد نیاز جهت ثبت تأسیس و تغییرات اشخاص حقوقی موارد زیر به استحضار میرسد </w:t>
      </w:r>
    </w:p>
    <w:p>
      <w:pPr>
        <w:pStyle w:val="Bodytext10"/>
        <w:framePr w:w="8271" w:h="6831" w:hRule="atLeast" w:wrap="none" w:vAnchor="margin" w:hAnchor="margin" w:x="576" w:y="5029"/>
        <w:ind w:right="10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بر اساس قانون تنظیم بازار غیر متشکل پولی و تبصره ۱ ماده ۹۶ قانون برنامه پنجم توسعه تبصره ۱ ایجاد و ثبت نهادهای پولی و اعتباری از قبیل بانکها مؤسسات اعتباری تعاونیهای اعتبار صندوقهای قرض الحسنه صرافی ها و شرکتهای و اسپاری لیزینگ ها و همچنین ثبت تغییرات نهادهای مذکور فقط با اخذ مجوز از بانک مرکزی جمهوری اسلامی ایران امکان پذیر است. بر همین اساس بانک مرکزی جمهوری اسلامی ایران درخواستهای نهادهای پولی و بانکی را برای انجام امور ثبتی بررسی و در صورت واجد شرایط بودن به مرجع ثبتی منعکس می نماید. </w:t>
      </w:r>
    </w:p>
    <w:p>
      <w:pPr>
        <w:pStyle w:val="Bodytext10"/>
        <w:framePr w:w="8271" w:h="6831" w:hRule="atLeast" w:wrap="none" w:vAnchor="margin" w:hAnchor="margin" w:x="576" w:y="5029"/>
        <w:ind w:right="10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استناد مواد ۱۰۶ و ۱۲۸ لایحه قانونی اصلاح قسمتی از قانون تجارت به کلیه نهادهای پولی و بانکی تحت نظارت بانک مرکزی جمهوری اسلامی ایران ابلاغ شده است که مفاد صورتجلسات مجامع عمومی و هیات مدیره که به منظور تایید توسط بانک مرکزی جمهوری اسلامی ایران و ارجاع آن به مراجع ثبتی ارسال میگردد متضمن موارد ذیل باشد </w:t>
      </w:r>
    </w:p>
    <w:p>
      <w:pPr>
        <w:pStyle w:val="Bodytext10"/>
        <w:framePr w:w="8271" w:h="6831" w:hRule="atLeast" w:wrap="none" w:vAnchor="margin" w:hAnchor="margin" w:x="576" w:y="5029"/>
        <w:ind w:right="148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افزایش یا کاهش سرمایه </w:t>
      </w:r>
    </w:p>
    <w:tbl>
      <w:tblPr>
        <w:bidiVisual/>
        <w:jc w:val="right"/>
        <w:tblInd w:w="0" w:type="dxa"/>
        <w:tblLayout w:type="fixed"/>
        <w:tblCellMar>
          <w:top w:w="0" w:type="dxa"/>
          <w:left w:w="0" w:type="dxa"/>
          <w:bottom w:w="0" w:type="dxa"/>
          <w:right w:w="0" w:type="dxa"/>
        </w:tblCellMar>
      </w:tblPr>
      <w:tblGrid>
        <w:gridCol w:w="265"/>
        <w:gridCol w:w="4026"/>
        <w:gridCol w:w="3082"/>
      </w:tblGrid>
      <w:tr>
        <w:tblPrEx>
          <w:jc w:val="right"/>
          <w:tblInd w:w="0" w:type="dxa"/>
          <w:tblLayout w:type="fixed"/>
          <w:tblCellMar>
            <w:top w:w="0" w:type="dxa"/>
            <w:left w:w="0" w:type="dxa"/>
            <w:bottom w:w="0" w:type="dxa"/>
            <w:right w:w="0" w:type="dxa"/>
          </w:tblCellMar>
        </w:tblPrEx>
        <w:trPr>
          <w:trHeight w:hRule="exact" w:val="847"/>
          <w:jc w:val="right"/>
        </w:trPr>
        <w:tc>
          <w:tcPr>
            <w:tcW w:w="4291" w:type="dxa"/>
            <w:gridSpan w:val="2"/>
            <w:tcBorders>
              <w:right w:val="single" w:sz="4" w:space="0" w:color="auto"/>
            </w:tcBorders>
            <w:vAlign w:val="top"/>
          </w:tcPr>
          <w:p>
            <w:pPr>
              <w:pStyle w:val="Other10"/>
              <w:framePr w:w="7373" w:h="2004" w:hRule="atLeast" w:wrap="none" w:vAnchor="margin" w:hAnchor="margin" w:x="1" w:y="11900"/>
              <w:spacing w:after="140"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انحلال </w:t>
            </w:r>
          </w:p>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هرگونه تغییرات در اساسنامه </w:t>
            </w:r>
          </w:p>
        </w:tc>
        <w:tc>
          <w:tcPr>
            <w:tcW w:w="3082" w:type="dxa"/>
            <w:tcBorders>
              <w:top w:val="single" w:sz="4" w:space="0" w:color="auto"/>
            </w:tcBorders>
            <w:vAlign w:val="top"/>
          </w:tcPr>
          <w:p>
            <w:pPr>
              <w:pStyle w:val="Other10"/>
              <w:framePr w:w="7373" w:h="2004" w:hRule="atLeast" w:wrap="none" w:vAnchor="margin" w:hAnchor="margin" w:x="1" w:y="11900"/>
              <w:tabs>
                <w:tab w:val="left" w:pos="2972"/>
              </w:tabs>
              <w:spacing w:line="166"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اداره کل ثبت شهر اما و مؤسسات غیر تجاری ) اداره کل ثبت شهر اما و مؤسسات غیر تجاری ) ((دبیر ساند)) </w:t>
            </w:r>
          </w:p>
        </w:tc>
      </w:tr>
      <w:tr>
        <w:tblPrEx>
          <w:jc w:val="right"/>
          <w:tblInd w:w="0" w:type="dxa"/>
          <w:tblLayout w:type="fixed"/>
          <w:tblCellMar>
            <w:top w:w="0" w:type="dxa"/>
            <w:left w:w="0" w:type="dxa"/>
            <w:bottom w:w="0" w:type="dxa"/>
            <w:right w:w="0" w:type="dxa"/>
          </w:tblCellMar>
        </w:tblPrEx>
        <w:trPr>
          <w:trHeight w:hRule="exact" w:val="392"/>
          <w:jc w:val="right"/>
        </w:trPr>
        <w:tc>
          <w:tcPr>
            <w:tcW w:w="265" w:type="dxa"/>
            <w:vAlign w:val="top"/>
          </w:tcPr>
          <w:p>
            <w:pPr>
              <w:pStyle w:val="Other20"/>
              <w:framePr w:w="7373" w:h="2004" w:hRule="atLeast" w:wrap="none" w:vAnchor="margin" w:hAnchor="margin" w:x="1" w:y="11900"/>
              <w:spacing w:before="120"/>
              <w:rPr>
                <w:rFonts w:ascii="Times New Roman" w:hAnsi="Times New Roman" w:cs="Times New Roman"/>
                <w:b w:val="0"/>
                <w:bCs w:val="0"/>
                <w:i w:val="0"/>
                <w:iCs w:val="0"/>
                <w:smallCaps w:val="0"/>
                <w:strike w:val="0"/>
                <w:sz w:val="24"/>
                <w:szCs w:val="24"/>
                <w:u w:val="none"/>
              </w:rPr>
            </w:pPr>
            <w:r>
              <w:rPr>
                <w:rStyle w:val="Other2"/>
              </w:rPr>
              <w:t>-</w:t>
            </w:r>
          </w:p>
        </w:tc>
        <w:tc>
          <w:tcPr>
            <w:tcW w:w="4026" w:type="dxa"/>
            <w:tcBorders>
              <w:right w:val="single" w:sz="4" w:space="0" w:color="auto"/>
            </w:tcBorders>
            <w:vAlign w:val="top"/>
          </w:tcPr>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تصویب صورتهای مالی سالیانه </w:t>
            </w:r>
          </w:p>
        </w:tc>
        <w:tc>
          <w:tcPr>
            <w:tcW w:w="3082" w:type="dxa"/>
            <w:vAlign w:val="bottom"/>
          </w:tcPr>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۹۲٫۱۵۳۲۵۱۰ </w:t>
            </w:r>
          </w:p>
        </w:tc>
      </w:tr>
      <w:tr>
        <w:tblPrEx>
          <w:jc w:val="right"/>
          <w:tblInd w:w="0" w:type="dxa"/>
          <w:tblLayout w:type="fixed"/>
          <w:tblCellMar>
            <w:top w:w="0" w:type="dxa"/>
            <w:left w:w="0" w:type="dxa"/>
            <w:bottom w:w="0" w:type="dxa"/>
            <w:right w:w="0" w:type="dxa"/>
          </w:tblCellMar>
        </w:tblPrEx>
        <w:trPr>
          <w:trHeight w:hRule="exact" w:val="438"/>
          <w:jc w:val="right"/>
        </w:trPr>
        <w:tc>
          <w:tcPr>
            <w:tcW w:w="265" w:type="dxa"/>
            <w:vAlign w:val="top"/>
          </w:tcPr>
          <w:p>
            <w:pPr>
              <w:pStyle w:val="Other20"/>
              <w:framePr w:w="7373" w:h="2004" w:hRule="atLeast" w:wrap="none" w:vAnchor="margin" w:hAnchor="margin" w:x="1" w:y="11900"/>
              <w:rPr>
                <w:rFonts w:ascii="Times New Roman" w:hAnsi="Times New Roman" w:cs="Times New Roman"/>
                <w:b w:val="0"/>
                <w:bCs w:val="0"/>
                <w:i w:val="0"/>
                <w:iCs w:val="0"/>
                <w:smallCaps w:val="0"/>
                <w:strike w:val="0"/>
                <w:sz w:val="24"/>
                <w:szCs w:val="24"/>
                <w:u w:val="none"/>
              </w:rPr>
            </w:pPr>
            <w:r>
              <w:rPr>
                <w:rStyle w:val="Other2"/>
              </w:rPr>
              <w:t>-</w:t>
            </w:r>
          </w:p>
        </w:tc>
        <w:tc>
          <w:tcPr>
            <w:tcW w:w="4026" w:type="dxa"/>
            <w:tcBorders>
              <w:right w:val="single" w:sz="4" w:space="0" w:color="auto"/>
            </w:tcBorders>
            <w:vAlign w:val="top"/>
          </w:tcPr>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انتخاب بازرسان اصلی و علی البدل </w:t>
            </w:r>
          </w:p>
        </w:tc>
        <w:tc>
          <w:tcPr>
            <w:tcW w:w="3082" w:type="dxa"/>
            <w:vAlign w:val="top"/>
          </w:tcPr>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sz w:val="34"/>
                <w:szCs w:val="34"/>
                <w:lang w:val="fa-IR" w:eastAsia="fa-IR"/>
              </w:rPr>
              <w:t>من اما. ا</w:t>
            </w:r>
          </w:p>
        </w:tc>
      </w:tr>
      <w:tr>
        <w:tblPrEx>
          <w:jc w:val="right"/>
          <w:tblInd w:w="0" w:type="dxa"/>
          <w:tblLayout w:type="fixed"/>
          <w:tblCellMar>
            <w:top w:w="0" w:type="dxa"/>
            <w:left w:w="0" w:type="dxa"/>
            <w:bottom w:w="0" w:type="dxa"/>
            <w:right w:w="0" w:type="dxa"/>
          </w:tblCellMar>
        </w:tblPrEx>
        <w:trPr>
          <w:trHeight w:hRule="exact" w:val="328"/>
          <w:jc w:val="right"/>
        </w:trPr>
        <w:tc>
          <w:tcPr>
            <w:tcW w:w="265" w:type="dxa"/>
            <w:vAlign w:val="bottom"/>
          </w:tcPr>
          <w:p>
            <w:pPr>
              <w:pStyle w:val="Other20"/>
              <w:framePr w:w="7373" w:h="2004" w:hRule="atLeast" w:wrap="none" w:vAnchor="margin" w:hAnchor="margin" w:x="1" w:y="11900"/>
              <w:rPr>
                <w:rFonts w:ascii="Times New Roman" w:hAnsi="Times New Roman" w:cs="Times New Roman"/>
                <w:b w:val="0"/>
                <w:bCs w:val="0"/>
                <w:i w:val="0"/>
                <w:iCs w:val="0"/>
                <w:smallCaps w:val="0"/>
                <w:strike w:val="0"/>
                <w:sz w:val="24"/>
                <w:szCs w:val="24"/>
                <w:u w:val="none"/>
              </w:rPr>
            </w:pPr>
            <w:r>
              <w:rPr>
                <w:rStyle w:val="Other2"/>
              </w:rPr>
              <w:t>-</w:t>
            </w:r>
          </w:p>
        </w:tc>
        <w:tc>
          <w:tcPr>
            <w:tcW w:w="4026" w:type="dxa"/>
            <w:vAlign w:val="bottom"/>
          </w:tcPr>
          <w:p>
            <w:pPr>
              <w:pStyle w:val="Other10"/>
              <w:framePr w:w="7373" w:h="2004" w:hRule="atLeast" w:wrap="none" w:vAnchor="margin" w:hAnchor="margin" w:x="1" w:y="11900"/>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انتخاب اعضای هیات مدیره </w:t>
            </w:r>
          </w:p>
        </w:tc>
        <w:tc>
          <w:tcPr>
            <w:tcW w:w="3082" w:type="dxa"/>
            <w:tcBorders>
              <w:top w:val="single" w:sz="4" w:space="0" w:color="auto"/>
            </w:tcBorders>
            <w:vAlign w:val="top"/>
          </w:tcPr>
          <w:p>
            <w:pPr>
              <w:framePr w:w="7373" w:h="2004" w:hRule="atLeast" w:wrap="none" w:vAnchor="margin" w:hAnchor="margin" w:x="1" w:y="11900"/>
              <w:bidi w:val="0"/>
              <w:spacing w:before="0" w:after="0" w:line="240" w:lineRule="auto"/>
              <w:ind w:left="0" w:right="0" w:firstLine="0"/>
              <w:jc w:val="left"/>
              <w:rPr>
                <w:color w:val="auto"/>
                <w:spacing w:val="0"/>
                <w:w w:val="100"/>
                <w:position w:val="0"/>
              </w:rPr>
            </w:pPr>
          </w:p>
        </w:tc>
      </w:tr>
    </w:tbl>
    <w:p>
      <w:pPr>
        <w:pStyle w:val="Bodytext10"/>
        <w:framePr w:w="5461" w:h="553" w:hRule="atLeast" w:wrap="none" w:vAnchor="margin" w:hAnchor="margin" w:x="1935" w:y="14711"/>
        <w:spacing w:before="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صندوقتی پستی : ۱۱۸۷۵٫۷۱۷۷، فاکس : ۶۶۷۲۵۶۷۴ بیات اینترنتی : www.cbi.ir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9.9pt;height:52.8pt;margin-top:0;margin-left:207.95pt;mso-position-horizontal-relative:margin;mso-position-vertical-relative:margin;mso-wrap-distance-left:0;mso-wrap-distance-right:0;position:absolute;z-index:-251658240">
            <v:imagedata r:id="rId4" o:title=""/>
            <w10:wrap anchorx="margin" anchory="margin"/>
          </v:shape>
        </w:pict>
      </w:r>
      <w:r>
        <w:rPr>
          <w:color w:val="auto"/>
          <w:spacing w:val="0"/>
          <w:w w:val="100"/>
          <w:position w:val="0"/>
        </w:rPr>
        <w:pict>
          <v:shape id="_x0000_s1026" type="#_x0000_t75" style="width:113.3pt;height:178.55pt;margin-top:41.75pt;margin-left:20.15pt;mso-position-horizontal-relative:margin;mso-position-vertical-relative:margin;mso-wrap-distance-left:0;mso-wrap-distance-right:0;position:absolute;z-index:-251657216">
            <v:imagedata r:id="rId5"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0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696" w:right="1094" w:bottom="680" w:left="1072" w:header="268" w:footer="252" w:gutter="0"/>
          <w:pgNumType w:start="2"/>
          <w:cols w:space="720"/>
          <w:bidi w:val="0"/>
          <w:docGrid w:linePitch="360"/>
        </w:sectPr>
      </w:pP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7" type="#_x0000_t75" style="width:50.9pt;height:52.8pt" o:allowincell="f">
            <v:imagedata r:id="rId6" o:title=""/>
          </v:shape>
        </w:pict>
      </w:r>
    </w:p>
    <w:p>
      <w:pPr>
        <w:pStyle w:val="Heading110"/>
        <w:keepNext/>
        <w:keepLines/>
        <w:framePr w:wrap="auto"/>
        <w:spacing w:after="480"/>
        <w:ind w:firstLine="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با نکات مرکزی جمهوری اسلامی ایران </w:t>
      </w:r>
      <w:bookmarkStart w:id="1" w:name="bookmark0_0"/>
      <w:bookmarkEnd w:id="1"/>
    </w:p>
    <w:p>
      <w:pPr>
        <w:pStyle w:val="Heading210"/>
        <w:keepNext/>
        <w:keepLines/>
        <w:framePr w:wrap="auto"/>
        <w:spacing w:after="180"/>
        <w:ind w:left="0" w:right="178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انتخاب مدیر عامل </w:t>
      </w:r>
      <w:bookmarkStart w:id="2" w:name="bookmark2"/>
      <w:bookmarkEnd w:id="2"/>
      <w:r>
        <w:rPr>
          <w:rStyle w:val="Heading21"/>
          <w:lang w:val="fa-IR" w:eastAsia="fa-IR"/>
        </w:rPr>
        <w:t xml:space="preserve"> </w:t>
      </w:r>
      <w:r>
        <w:rPr>
          <w:rStyle w:val="Bodytext1"/>
          <w:rFonts w:ascii="Microsoft Uighur" w:hAnsi="Microsoft Uighur" w:cs="Microsoft Uighur"/>
          <w:b/>
          <w:bCs/>
          <w:lang w:val="fa-IR" w:eastAsia="fa-IR"/>
        </w:rPr>
        <w:t xml:space="preserve">تعیین سمت اعضای هیات مدیره </w:t>
      </w:r>
    </w:p>
    <w:p>
      <w:pPr>
        <w:pStyle w:val="Bodytext10"/>
        <w:framePr w:wrap="auto"/>
        <w:spacing w:line="446" w:lineRule="auto"/>
        <w:ind w:right="106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در حال حاضر درخواستهای نهادهای پولی و بانکی برای انجام امور ثبتی ابتدا در این بانک بررسی و بر اساس درخواست متقاضی و یا در پاسخ به استعلام مرجع ثبتی پاسخ به صورت کتبی به مرجع ثبتی اعلام می گردد. </w:t>
      </w:r>
    </w:p>
    <w:p>
      <w:pPr>
        <w:pStyle w:val="Bodytext10"/>
        <w:framePr w:wrap="auto"/>
        <w:spacing w:line="437" w:lineRule="auto"/>
        <w:ind w:right="106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راه اندازی سامانه جامع ثبت شرکتها و مؤسسات غیر تجاری توسط آن اداره کل که اقدامی بسیار شایسته و درخور تحسین است و با توجه به اینکه آن اداره کل به متقاضیان انجام امور ثبتی اعلام نموده است که معرفی نامه های بانک مرکزی جمهوری اسلامی ایران صرفاً به همراه سایر مدارک و پس از دریافت کد هگیری از سامانه مذکور قابل دریافت است، با توجه به جلسه مشترک با نمایندگان آن اداره کل مقرر گردید که معرفی نامه های این بانک برای انجام امور ثبتی در اختیار متقاضیان قرار داده شود تا به همراه سایر مدارک به آن اداره کل ارسال گردد. </w:t>
      </w:r>
    </w:p>
    <w:p>
      <w:pPr>
        <w:pStyle w:val="Bodytext10"/>
        <w:framePr w:wrap="auto"/>
        <w:spacing w:line="437" w:lineRule="auto"/>
        <w:ind w:right="106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 همانگونه که استحضار دارد بدلیل محرمانه بودن و نیز امکان سوء استفاده و جعل شایسته نیست مكاتبات فی مابین دو سازمان دولتی در اختیار اشخاص ثالث قرار گیرد. برهمین اساس ارجح آن است که درگاه مانصوصی برای تبادل اطلاعات بین بانک مرکزی و سازمان ثبت اسناد و املاک کشور در سامانه جامع ثبت شرکتها و مؤسسات غیر تجاری تعبیه گردد تا ارتباط بین دو سازمان از طریق سامانه مذکور و بدون واسطه انجام پذیرد. </w:t>
      </w:r>
    </w:p>
    <w:p>
      <w:pPr>
        <w:pStyle w:val="Bodytext10"/>
        <w:framePr w:wrap="auto"/>
        <w:spacing w:line="437"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خاتمه خاطر نشان میسازد بانک مرکزی جمهوری اسلامی ایران آمادگی هرگونه همکاری های لازم برای برگزاری جلسات مشترک و انعقاد تفاهم نامه با آن سازمان در زمینه سامانه جامع ثبت شرکتها و </w:t>
      </w:r>
    </w:p>
    <w:p>
      <w:pPr>
        <w:pStyle w:val="Heading210"/>
        <w:keepNext/>
        <w:keepLines/>
        <w:framePr w:wrap="auto"/>
        <w:spacing w:after="0"/>
        <w:ind w:left="0"/>
        <w:rPr>
          <w:rFonts w:ascii="Times New Roman" w:hAnsi="Times New Roman" w:cs="Times New Roman"/>
          <w:b w:val="0"/>
          <w:bCs w:val="0"/>
          <w:i w:val="0"/>
          <w:iCs w:val="0"/>
          <w:smallCaps w:val="0"/>
          <w:strike w:val="0"/>
          <w:sz w:val="24"/>
          <w:szCs w:val="24"/>
          <w:u w:val="none"/>
        </w:rPr>
        <w:sectPr>
          <w:pgSz w:w="11900" w:h="16840"/>
          <w:pgMar w:top="667" w:right="1970" w:bottom="674" w:left="1676" w:header="239" w:footer="246" w:gutter="0"/>
          <w:pgNumType w:start="3"/>
          <w:cols w:space="720"/>
          <w:bidi/>
          <w:docGrid w:linePitch="360"/>
        </w:sectPr>
      </w:pPr>
      <w:r>
        <w:rPr>
          <w:rStyle w:val="Heading21"/>
          <w:rFonts w:ascii="Microsoft Uighur" w:hAnsi="Microsoft Uighur" w:cs="Microsoft Uighur"/>
          <w:b/>
          <w:bCs/>
          <w:lang w:val="fa-IR" w:eastAsia="fa-IR"/>
        </w:rPr>
        <w:t xml:space="preserve">مؤسسات غیر تجاری را دارد. ۱۷۹۴۲۱۶ </w:t>
      </w:r>
      <w:bookmarkStart w:id="3" w:name="bookmark4"/>
      <w:bookmarkEnd w:id="3"/>
    </w:p>
    <w:p>
      <w:pPr>
        <w:framePr w:wrap="auto"/>
        <w:bidi w:val="0"/>
        <w:spacing w:before="0" w:after="0" w:line="240" w:lineRule="exact"/>
        <w:ind w:left="0" w:right="0" w:firstLine="0"/>
        <w:jc w:val="left"/>
        <w:rPr>
          <w:color w:val="auto"/>
          <w:spacing w:val="0"/>
          <w:w w:val="100"/>
          <w:position w:val="0"/>
        </w:rPr>
      </w:pPr>
    </w:p>
    <w:p>
      <w:pPr>
        <w:framePr w:wrap="auto"/>
        <w:bidi w:val="0"/>
        <w:spacing w:before="119" w:after="11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667" w:right="0" w:bottom="674" w:left="0" w:header="0" w:footer="3" w:gutter="0"/>
          <w:cols w:space="720"/>
          <w:bidi w:val="0"/>
          <w:docGrid w:linePitch="360"/>
        </w:sectPr>
      </w:pPr>
    </w:p>
    <w:p>
      <w:pPr>
        <w:pStyle w:val="Picturecaption10"/>
        <w:framePr w:w="1722" w:h="317" w:hRule="atLeast" w:wrap="none" w:vAnchor="text" w:hAnchor="margin" w:x="1543" w:y="20"/>
        <w:jc w:val="left"/>
        <w:rPr>
          <w:rFonts w:ascii="Times New Roman" w:hAnsi="Times New Roman" w:cs="Times New Roman"/>
          <w:b w:val="0"/>
          <w:bCs w:val="0"/>
          <w:i w:val="0"/>
          <w:iCs w:val="0"/>
          <w:smallCaps w:val="0"/>
          <w:strike w:val="0"/>
          <w:sz w:val="24"/>
          <w:szCs w:val="24"/>
          <w:u w:val="none"/>
        </w:rPr>
      </w:pPr>
      <w:r>
        <w:rPr>
          <w:rStyle w:val="Picturecaption1"/>
          <w:rFonts w:ascii="Microsoft Uighur" w:hAnsi="Microsoft Uighur" w:cs="Microsoft Uighur"/>
          <w:lang w:val="fa-IR" w:eastAsia="fa-IR"/>
        </w:rPr>
        <w:t xml:space="preserve">اداره مجوزهای بانکی </w:t>
      </w:r>
    </w:p>
    <w:p>
      <w:pPr>
        <w:pStyle w:val="Picturecaption10"/>
        <w:framePr w:w="1204" w:h="288" w:hRule="atLeast" w:wrap="none" w:vAnchor="text" w:hAnchor="margin" w:x="3139" w:y="567"/>
        <w:rPr>
          <w:rFonts w:ascii="Times New Roman" w:hAnsi="Times New Roman" w:cs="Times New Roman"/>
          <w:b w:val="0"/>
          <w:bCs w:val="0"/>
          <w:i w:val="0"/>
          <w:iCs w:val="0"/>
          <w:smallCaps w:val="0"/>
          <w:strike w:val="0"/>
          <w:sz w:val="24"/>
          <w:szCs w:val="24"/>
          <w:u w:val="none"/>
        </w:rPr>
      </w:pPr>
      <w:r>
        <w:rPr>
          <w:rStyle w:val="Picturecaption1"/>
          <w:rFonts w:ascii="Microsoft Uighur" w:hAnsi="Microsoft Uighur" w:cs="Microsoft Uighur"/>
          <w:lang w:val="fa-IR" w:eastAsia="fa-IR"/>
        </w:rPr>
        <w:t xml:space="preserve">مسعود کورنگی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28" type="#_x0000_t75" style="width:221.3pt;height:144.95pt;margin-top:5.3pt;margin-left:22.45pt;mso-position-horizontal-relative:margin;mso-wrap-distance-left:0;mso-wrap-distance-right:0;mso-wrap-distance-top:4.3pt;position:absolute;z-index:-251656192">
            <v:imagedata r:id="rId7" o:title=""/>
            <w10:wrap anchorx="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46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667" w:right="1970" w:bottom="674" w:left="1676" w:header="0" w:footer="3" w:gutter="0"/>
          <w:cols w:space="720"/>
          <w:bidi w:val="0"/>
          <w:docGrid w:linePitch="360"/>
        </w:sectPr>
      </w:pPr>
    </w:p>
    <w:p>
      <w:pPr>
        <w:pStyle w:val="Heading210"/>
        <w:keepNext/>
        <w:keepLines/>
        <w:framePr w:wrap="auto"/>
        <w:spacing w:after="0"/>
        <w:ind w:left="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صندوق پستی : ۷۱۷۷ ٫ ۱۵۸۷۵، فاکس : ۶۶۷۲۵۶۷۴ ریاست اینترتی : www.cbi.ir </w:t>
      </w:r>
      <w:bookmarkStart w:id="4" w:name="bookmark6"/>
      <w:bookmarkEnd w:id="4"/>
    </w:p>
    <w:sectPr>
      <w:headerReference w:type="even" r:id="rId8"/>
      <w:headerReference w:type="default" r:id="rId9"/>
      <w:footerReference w:type="even" r:id="rId10"/>
      <w:footerReference w:type="default" r:id="rId11"/>
      <w:headerReference w:type="first" r:id="rId12"/>
      <w:footerReference w:type="first" r:id="rId13"/>
      <w:type w:val="continuous"/>
      <w:pgSz w:w="11900" w:h="16840"/>
      <w:pgMar w:top="667" w:right="1970" w:bottom="667" w:left="1676"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0"/>
      <w:szCs w:val="20"/>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Bodytext4">
    <w:name w:val="Body text|4_"/>
    <w:basedOn w:val="DefaultParagraphFont"/>
    <w:link w:val="Bodytext40"/>
    <w:uiPriority w:val="99"/>
    <w:rPr>
      <w:rFonts w:ascii="Microsoft Uighur" w:hAnsi="Microsoft Uighur" w:cs="Microsoft Uighur"/>
      <w:b w:val="0"/>
      <w:bCs w:val="0"/>
      <w:i/>
      <w:iCs/>
      <w:smallCaps w:val="0"/>
      <w:strike w:val="0"/>
      <w:color w:val="000000"/>
      <w:spacing w:val="0"/>
      <w:w w:val="100"/>
      <w:position w:val="0"/>
      <w:sz w:val="68"/>
      <w:szCs w:val="68"/>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92"/>
      <w:szCs w:val="92"/>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Other2">
    <w:name w:val="Other|2_"/>
    <w:basedOn w:val="DefaultParagraphFont"/>
    <w:link w:val="Other20"/>
    <w:uiPriority w:val="99"/>
    <w:rPr>
      <w:rFonts w:ascii="Arial" w:hAnsi="Arial" w:cs="Arial"/>
      <w:b w:val="0"/>
      <w:bCs w:val="0"/>
      <w:i w:val="0"/>
      <w:iCs w:val="0"/>
      <w:smallCaps w:val="0"/>
      <w:strike w:val="0"/>
      <w:color w:val="000000"/>
      <w:spacing w:val="0"/>
      <w:w w:val="100"/>
      <w:position w:val="0"/>
      <w:sz w:val="20"/>
      <w:szCs w:val="20"/>
      <w:u w:val="none"/>
      <w:lang w:val="en-US" w:eastAsia="en-US"/>
    </w:rPr>
  </w:style>
  <w:style w:type="paragraph" w:customStyle="1" w:styleId="Bodytext20">
    <w:name w:val="Body text|2"/>
    <w:basedOn w:val="Normal"/>
    <w:link w:val="Bodytext2"/>
    <w:uiPriority w:val="99"/>
    <w:pPr>
      <w:bidi/>
      <w:spacing w:before="0" w:after="80" w:line="240" w:lineRule="auto"/>
      <w:ind w:left="0" w:right="0" w:firstLine="0"/>
      <w:jc w:val="left"/>
    </w:pPr>
    <w:rPr>
      <w:rFonts w:ascii="Arial" w:hAnsi="Arial" w:cs="Arial"/>
      <w:b/>
      <w:bCs/>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100" w:line="288" w:lineRule="auto"/>
      <w:ind w:left="700" w:right="0" w:hanging="35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Bodytext40">
    <w:name w:val="Body text|4"/>
    <w:basedOn w:val="Normal"/>
    <w:link w:val="Bodytext4"/>
    <w:uiPriority w:val="99"/>
    <w:pPr>
      <w:bidi/>
      <w:spacing w:before="0" w:after="120" w:line="240" w:lineRule="auto"/>
      <w:ind w:left="0" w:right="0" w:firstLine="0"/>
      <w:jc w:val="center"/>
    </w:pPr>
    <w:rPr>
      <w:rFonts w:ascii="Microsoft Uighur" w:hAnsi="Microsoft Uighur" w:cs="Microsoft Uighur"/>
      <w:b w:val="0"/>
      <w:bCs w:val="0"/>
      <w:i/>
      <w:iCs/>
      <w:smallCaps w:val="0"/>
      <w:strike w:val="0"/>
      <w:color w:val="auto"/>
      <w:spacing w:val="0"/>
      <w:w w:val="100"/>
      <w:position w:val="0"/>
      <w:sz w:val="68"/>
      <w:szCs w:val="68"/>
      <w:u w:val="none"/>
    </w:rPr>
  </w:style>
  <w:style w:type="paragraph" w:customStyle="1" w:styleId="Heading110">
    <w:name w:val="Heading #1|1"/>
    <w:basedOn w:val="Normal"/>
    <w:link w:val="Heading11"/>
    <w:uiPriority w:val="99"/>
    <w:pPr>
      <w:bidi/>
      <w:spacing w:before="0" w:after="0" w:line="240" w:lineRule="auto"/>
      <w:ind w:left="0" w:right="0" w:firstLine="900"/>
      <w:jc w:val="left"/>
      <w:outlineLvl w:val="0"/>
    </w:pPr>
    <w:rPr>
      <w:rFonts w:ascii="Arial" w:hAnsi="Arial" w:cs="Arial"/>
      <w:b w:val="0"/>
      <w:bCs w:val="0"/>
      <w:i w:val="0"/>
      <w:iCs w:val="0"/>
      <w:smallCaps w:val="0"/>
      <w:strike w:val="0"/>
      <w:color w:val="auto"/>
      <w:spacing w:val="0"/>
      <w:w w:val="100"/>
      <w:position w:val="0"/>
      <w:sz w:val="92"/>
      <w:szCs w:val="92"/>
      <w:u w:val="none"/>
    </w:rPr>
  </w:style>
  <w:style w:type="paragraph" w:customStyle="1" w:styleId="Bodytext10">
    <w:name w:val="Body text|1"/>
    <w:basedOn w:val="Normal"/>
    <w:link w:val="Bodytext1"/>
    <w:uiPriority w:val="99"/>
    <w:pPr>
      <w:bidi/>
      <w:spacing w:before="0" w:after="0" w:line="432"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Other10">
    <w:name w:val="Other|1"/>
    <w:basedOn w:val="Normal"/>
    <w:link w:val="Other1"/>
    <w:uiPriority w:val="99"/>
    <w:pPr>
      <w:bidi/>
      <w:spacing w:before="0" w:after="0" w:line="432"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Other20">
    <w:name w:val="Other|2"/>
    <w:basedOn w:val="Normal"/>
    <w:link w:val="Other2"/>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Heading210">
    <w:name w:val="Heading #2|1"/>
    <w:basedOn w:val="Normal"/>
    <w:link w:val="Heading21"/>
    <w:uiPriority w:val="99"/>
    <w:pPr>
      <w:bidi/>
      <w:spacing w:before="0" w:after="90" w:line="240" w:lineRule="auto"/>
      <w:ind w:left="890" w:right="0" w:firstLine="0"/>
      <w:jc w:val="left"/>
      <w:outlineLvl w:val="1"/>
    </w:pPr>
    <w:rPr>
      <w:rFonts w:ascii="Arial" w:hAnsi="Arial" w:cs="Arial"/>
      <w:b w:val="0"/>
      <w:bCs w:val="0"/>
      <w:i w:val="0"/>
      <w:iCs w:val="0"/>
      <w:smallCaps w:val="0"/>
      <w:strike w:val="0"/>
      <w:color w:val="auto"/>
      <w:spacing w:val="0"/>
      <w:w w:val="100"/>
      <w:position w:val="0"/>
      <w:sz w:val="20"/>
      <w:szCs w:val="20"/>
      <w:u w:val="none"/>
    </w:rPr>
  </w:style>
  <w:style w:type="character" w:customStyle="1" w:styleId="Picturecaption1">
    <w:name w:val="Picture caption|1_"/>
    <w:basedOn w:val="DefaultParagraphFont"/>
    <w:link w:val="Picturecaption10"/>
    <w:uiPriority w:val="99"/>
    <w:rPr>
      <w:rFonts w:ascii="Arial" w:hAnsi="Arial" w:cs="Arial"/>
      <w:b/>
      <w:bCs/>
      <w:i w:val="0"/>
      <w:iCs w:val="0"/>
      <w:smallCaps w:val="0"/>
      <w:strike w:val="0"/>
      <w:color w:val="000000"/>
      <w:spacing w:val="0"/>
      <w:w w:val="100"/>
      <w:position w:val="0"/>
      <w:sz w:val="24"/>
      <w:szCs w:val="24"/>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center"/>
    </w:pPr>
    <w:rPr>
      <w:rFonts w:ascii="Arial" w:hAnsi="Arial" w:cs="Arial"/>
      <w:b/>
      <w:bCs/>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