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6.0 -->
  <w:body>
    <w:p>
      <w:pPr>
        <w:pStyle w:val="Bodytext20"/>
        <w:framePr w:w="7407" w:h="4188" w:hRule="atLeast" w:wrap="none" w:vAnchor="margin" w:hAnchor="margin" w:x="1572" w:y="-734"/>
        <w:spacing w:after="74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lang w:val="fa-IR" w:eastAsia="fa-IR"/>
        </w:rPr>
        <w:t xml:space="preserve">() </w:t>
      </w:r>
    </w:p>
    <w:p>
      <w:pPr>
        <w:pStyle w:val="Bodytext10"/>
        <w:framePr w:w="7407" w:h="4188" w:hRule="atLeast" w:wrap="none" w:vAnchor="margin" w:hAnchor="margin" w:x="1572" w:y="-734"/>
        <w:spacing w:after="120" w:line="353" w:lineRule="auto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قوه قضائیه سازمان ثبت اسناد و املاک کشور </w:t>
      </w:r>
    </w:p>
    <w:p>
      <w:pPr>
        <w:pStyle w:val="Bodytext20"/>
        <w:framePr w:w="7407" w:h="4188" w:hRule="atLeast" w:wrap="none" w:vAnchor="margin" w:hAnchor="margin" w:x="1572" w:y="-734"/>
        <w:spacing w:after="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lang w:val="fa-IR" w:eastAsia="fa-IR"/>
        </w:rPr>
        <w:t xml:space="preserve">اداره کل محترم ثبت اسناد و املاک استان </w:t>
      </w:r>
    </w:p>
    <w:p>
      <w:pPr>
        <w:pStyle w:val="Heading110"/>
        <w:keepNext/>
        <w:keepLines/>
        <w:framePr w:w="7407" w:h="4188" w:hRule="atLeast" w:wrap="none" w:vAnchor="margin" w:hAnchor="margin" w:x="1572" w:y="-734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11"/>
          <w:rFonts w:ascii="Microsoft Uighur" w:hAnsi="Microsoft Uighur" w:cs="Microsoft Uighur"/>
          <w:b/>
          <w:bCs/>
          <w:lang w:val="fa-IR" w:eastAsia="fa-IR"/>
        </w:rPr>
        <w:t xml:space="preserve">سلام علیکم </w:t>
      </w:r>
      <w:bookmarkStart w:id="0" w:name="bookmark0"/>
      <w:bookmarkEnd w:id="0"/>
    </w:p>
    <w:p>
      <w:pPr>
        <w:pStyle w:val="Bodytext10"/>
        <w:framePr w:w="7407" w:h="4188" w:hRule="atLeast" w:wrap="none" w:vAnchor="margin" w:hAnchor="margin" w:x="1572" w:y="-734"/>
        <w:spacing w:after="440"/>
        <w:ind w:firstLine="48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احتراما در اجرای تکالیف والزامات مقرر در بند ۲۷ قانون بودجه سال ۱۳۹۲ و مکاتبات متعدد </w:t>
      </w:r>
    </w:p>
    <w:p>
      <w:pPr>
        <w:pStyle w:val="Bodytext10"/>
        <w:framePr w:w="444" w:h="340" w:hRule="atLeast" w:wrap="none" w:vAnchor="margin" w:hAnchor="margin" w:x="1100" w:y="505"/>
        <w:spacing w:line="240" w:lineRule="auto"/>
        <w:ind w:left="-20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تاریخ : </w:t>
      </w:r>
    </w:p>
    <w:p>
      <w:pPr>
        <w:pStyle w:val="Bodytext10"/>
        <w:framePr w:w="599" w:h="334" w:hRule="atLeast" w:wrap="none" w:vAnchor="margin" w:hAnchor="margin" w:x="1019" w:y="1029"/>
        <w:spacing w:line="240" w:lineRule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پیوست </w:t>
      </w:r>
    </w:p>
    <w:p>
      <w:pPr>
        <w:pStyle w:val="Bodytext10"/>
        <w:framePr w:w="662" w:h="294" w:hRule="atLeast" w:wrap="none" w:vAnchor="margin" w:hAnchor="margin" w:x="858" w:y="2930"/>
        <w:spacing w:line="240" w:lineRule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احتراما در اجرای تکالیف والزامات مقرر در بند ۲۷ قانون بودجه سال ۱۳۹۲ و مکاتبات متعدد </w:t>
      </w:r>
    </w:p>
    <w:p>
      <w:pPr>
        <w:pStyle w:val="Bodytext30"/>
        <w:framePr w:w="703" w:h="248" w:hRule="atLeast" w:wrap="none" w:vAnchor="margin" w:hAnchor="margin" w:x="1" w:y="38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3"/>
          <w:rFonts w:ascii="Microsoft Uighur" w:hAnsi="Microsoft Uighur" w:cs="Microsoft Uighur"/>
          <w:b/>
          <w:bCs/>
          <w:sz w:val="27"/>
          <w:szCs w:val="27"/>
          <w:lang w:val="fa-IR" w:eastAsia="fa-IR"/>
        </w:rPr>
        <w:t xml:space="preserve">92٫6٫26 </w:t>
      </w:r>
    </w:p>
    <w:p>
      <w:pPr>
        <w:pStyle w:val="Bodytext10"/>
        <w:framePr w:w="403" w:h="317" w:hRule="atLeast" w:wrap="none" w:vAnchor="margin" w:hAnchor="margin" w:x="305" w:y="960"/>
        <w:spacing w:line="240" w:lineRule="auto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ندارد </w:t>
      </w:r>
    </w:p>
    <w:p>
      <w:pPr>
        <w:pStyle w:val="Bodytext10"/>
        <w:framePr w:w="547" w:h="294" w:hRule="atLeast" w:wrap="none" w:vAnchor="margin" w:hAnchor="margin" w:x="207" w:y="2930"/>
        <w:spacing w:line="240" w:lineRule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احتراما در اجرای تکالیف والزامات مقرر در بند ۲۷ قانون بودجه سال ۱۳۹۲ و مکاتبات متعدد </w:t>
      </w:r>
    </w:p>
    <w:p>
      <w:pPr>
        <w:framePr w:wrap="auto"/>
        <w:bidi w:val="0"/>
        <w:spacing w:before="0" w:after="0" w:line="36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36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36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36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36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36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36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36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573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  <w:sectPr>
          <w:headerReference w:type="default" r:id="rId4"/>
          <w:footerReference w:type="default" r:id="rId5"/>
          <w:pgSz w:w="11900" w:h="16840"/>
          <w:pgMar w:top="1118" w:right="1684" w:bottom="865" w:left="1235" w:header="0" w:footer="3" w:gutter="0"/>
          <w:pgNumType w:start="2"/>
          <w:cols w:space="720"/>
          <w:bidi w:val="0"/>
          <w:docGrid w:linePitch="360"/>
        </w:sectPr>
      </w:pPr>
    </w:p>
    <w:p>
      <w:pPr>
        <w:pStyle w:val="Bodytext10"/>
        <w:framePr w:wrap="auto"/>
        <w:spacing w:after="40" w:line="415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سازمان خصوصی سازی از جمله نامه شماره ۱۰٫۱۵۱۰۹ مورخ ۱۳۹۲٫۶٫۱۲ جهت تبیین الزامات قانونی شرکت ها و موسسات غیر تجاری مشمول واگذاری به استحضار می رساند : </w:t>
      </w:r>
    </w:p>
    <w:p>
      <w:pPr>
        <w:pStyle w:val="Bodytext10"/>
        <w:framePr w:wrap="auto"/>
        <w:ind w:right="540" w:hanging="3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۱ در اجرای بند ۲ - ۲۷ قانون بودجه سال ۱۳۹۲، مراجع ثبت شرکتها و موسسات غیر تجاری مکلف است ثبت هرگونه تغییرات در زمینه اساسنامه سرمایه و همچنین ثبت هرگونه دخل و تصرف در اموال شرکتهای مزبور از جمله نقل و انتقال ترهین خرید و فروش و اجاره بنگاههای در حال واگذاری و واگذار شده بصورت کنترلی ( لیست پیوست ) را پس از اخذ مجوز کتبی از سازمان خصوصی سازی انجام دهد. </w:t>
      </w:r>
    </w:p>
    <w:p>
      <w:pPr>
        <w:pStyle w:val="Bodytext10"/>
        <w:framePr w:wrap="auto"/>
        <w:ind w:right="540" w:hanging="3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۲ در خصوص اشخاص حقوقی در حال واگذاری و در اجرای بند ۹ - ۲۷ قانون بودجه مذکور و ماده (۱۸) قانون اجرای سیاستهای کلی اصل چهل و چهارم (۴۴) قانون اساسی از زمان تصویب عنوان هر بنگاه در فهرست بنگاههای قابل واگذاری توسط هیأت واگذاری وزارت امور اقتصادی و دارایی مکلف است با تصویب هیأت وزیران نسبت به تشکیل مجامع عمومی آن بنگاهها متشکل از وزرای امور اقتصادی و دارایی رئیس مجمع و دادگستری معاون برنامه ریزی و نظارت راهبردی رئیس جمهور و بالاترین مقام دستگاه اجرایی ذی ربط و یا نمایندگان تام الاختیار آنها و با حضور رئیس سازمان خصوصی سازی نماینده هیأت واگذاری و نماینده اتاق بازرگانی صنایع و معادن و کشاورزی ایران اقدام نماید. مجمع عمومی با رعایت قوانین و مقررات مربوط عهده دار انتخاب اعضای هیات مدیره و بقیه وظایف مجامع عمومی است. صورتجلسات مجامع و هیأت مدیره شرکتهای مذکور خارج از ضوابط این بند فاقد اعتبار است و مرجع ثبت شرکتها و مؤسسات غیرتجاری و سایر مراجع موظفند از پذیرش و ثبت صورتجلسات مزبور خودداری نمایند . </w:t>
      </w:r>
    </w:p>
    <w:p>
      <w:pPr>
        <w:pStyle w:val="Bodytext10"/>
        <w:framePr w:wrap="auto"/>
        <w:spacing w:line="415" w:lineRule="auto"/>
        <w:ind w:right="540" w:hanging="3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sectPr>
          <w:type w:val="continuous"/>
          <w:pgSz w:w="11900" w:h="16840"/>
          <w:pgMar w:top="1018" w:right="1685" w:bottom="1018" w:left="1431" w:header="0" w:footer="3" w:gutter="0"/>
          <w:cols w:space="720"/>
          <w:bidi/>
          <w:docGrid w:linePitch="360"/>
        </w:sect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با توجه به مکاتبات متعدد سازمان خصوصی سازی در سنوات گذشته از جمله نامه شماره ۲۰٫۸۷۵۸ مورخ ۱۳۹۲٫۴٫۹ ، شرکتهای غیر دولتی ) شرکتهای که سهام متعلق به دولت در </w:t>
      </w:r>
    </w:p>
    <w:p>
      <w:pPr>
        <w:pStyle w:val="Bodytext10"/>
        <w:framePr w:w="6739" w:h="3502" w:hRule="atLeast" w:wrap="none" w:vAnchor="margin" w:hAnchor="margin" w:x="1705" w:y="1"/>
        <w:spacing w:line="492" w:lineRule="auto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() </w:t>
      </w:r>
    </w:p>
    <w:p>
      <w:pPr>
        <w:pStyle w:val="Bodytext20"/>
        <w:framePr w:w="6739" w:h="3502" w:hRule="atLeast" w:wrap="none" w:vAnchor="margin" w:hAnchor="margin" w:x="1705" w:y="1"/>
        <w:spacing w:after="260" w:line="154" w:lineRule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lang w:val="fa-IR" w:eastAsia="fa-IR"/>
        </w:rPr>
        <w:t xml:space="preserve">() قوه قضائیه سازمان ثبت اسناد و املاک کشور </w:t>
      </w:r>
    </w:p>
    <w:p>
      <w:pPr>
        <w:pStyle w:val="Bodytext10"/>
        <w:framePr w:w="6739" w:h="3502" w:hRule="atLeast" w:wrap="none" w:vAnchor="margin" w:hAnchor="margin" w:x="1705" w:y="1"/>
        <w:spacing w:after="180" w:line="240" w:lineRule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آنها کمتر از ۵۰ میباشد ( مشمول واگذاری، برگزاری مجامع عمومی آنها با حضور </w:t>
      </w:r>
    </w:p>
    <w:p>
      <w:pPr>
        <w:pStyle w:val="Bodytext20"/>
        <w:framePr w:w="6739" w:h="3502" w:hRule="atLeast" w:wrap="none" w:vAnchor="margin" w:hAnchor="margin" w:x="1705" w:y="1"/>
        <w:spacing w:after="220" w:line="331" w:lineRule="auto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lang w:val="fa-IR" w:eastAsia="fa-IR"/>
        </w:rPr>
        <w:t xml:space="preserve">سهامداران شرکت و نماینده وزارت امور اقتصاد و دارایی برگزار می گردد. </w:t>
      </w:r>
    </w:p>
    <w:p>
      <w:pPr>
        <w:pStyle w:val="Bodytext40"/>
        <w:framePr w:w="1014" w:h="248" w:hRule="atLeast" w:wrap="none" w:vAnchor="margin" w:hAnchor="margin" w:x="196" w:y="42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4"/>
          <w:rFonts w:ascii="Microsoft Uighur" w:hAnsi="Microsoft Uighur" w:cs="Microsoft Uighur"/>
          <w:b/>
          <w:bCs/>
          <w:sz w:val="27"/>
          <w:szCs w:val="27"/>
          <w:lang w:val="fa-IR" w:eastAsia="fa-IR" w:bidi="ar-SA"/>
        </w:rPr>
        <w:t xml:space="preserve">92٫109247 </w:t>
      </w:r>
    </w:p>
    <w:p>
      <w:pPr>
        <w:pStyle w:val="Bodytext10"/>
        <w:framePr w:w="374" w:h="294" w:hRule="atLeast" w:wrap="none" w:vAnchor="margin" w:hAnchor="margin" w:x="1192" w:y="766"/>
        <w:spacing w:line="240" w:lineRule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شماره: </w:t>
      </w:r>
    </w:p>
    <w:p>
      <w:pPr>
        <w:pStyle w:val="Bodytext20"/>
        <w:framePr w:w="444" w:h="397" w:hRule="atLeast" w:wrap="none" w:vAnchor="margin" w:hAnchor="margin" w:x="1100" w:y="1187"/>
        <w:spacing w:after="0" w:line="240" w:lineRule="auto"/>
        <w:ind w:left="-2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lang w:val="fa-IR" w:eastAsia="fa-IR"/>
        </w:rPr>
        <w:t xml:space="preserve">تاریخ: </w:t>
      </w:r>
    </w:p>
    <w:p>
      <w:pPr>
        <w:pStyle w:val="Heading110"/>
        <w:keepNext/>
        <w:keepLines/>
        <w:framePr w:w="599" w:h="432" w:hRule="atLeast" w:wrap="none" w:vAnchor="margin" w:hAnchor="margin" w:x="1019" w:y="1688"/>
        <w:spacing w:after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11"/>
          <w:rFonts w:ascii="Microsoft Uighur" w:hAnsi="Microsoft Uighur" w:cs="Microsoft Uighur"/>
          <w:b/>
          <w:bCs/>
          <w:lang w:val="fa-IR" w:eastAsia="fa-IR"/>
        </w:rPr>
        <w:t xml:space="preserve">پیوست </w:t>
      </w:r>
      <w:bookmarkStart w:id="1" w:name="bookmark0_0"/>
      <w:bookmarkEnd w:id="1"/>
    </w:p>
    <w:p>
      <w:pPr>
        <w:pStyle w:val="Heading210"/>
        <w:keepNext/>
        <w:keepLines/>
        <w:framePr w:w="559" w:h="363" w:hRule="atLeast" w:wrap="none" w:vAnchor="margin" w:hAnchor="margin" w:x="904" w:y="2546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b/>
          <w:bCs/>
          <w:lang w:val="fa-IR" w:eastAsia="fa-IR"/>
        </w:rPr>
        <w:t xml:space="preserve">آنها کمتر از ۵۰ میباشد ( مشمول واگذاری، برگزاری مجامع عمومی آنها با حضور </w:t>
      </w:r>
      <w:bookmarkStart w:id="2" w:name="bookmark2"/>
      <w:bookmarkEnd w:id="2"/>
    </w:p>
    <w:p>
      <w:pPr>
        <w:pStyle w:val="Bodytext50"/>
        <w:framePr w:w="703" w:h="248" w:hRule="atLeast" w:wrap="none" w:vAnchor="margin" w:hAnchor="margin" w:x="1" w:y="772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5"/>
          <w:rFonts w:ascii="Microsoft Uighur" w:hAnsi="Microsoft Uighur" w:cs="Microsoft Uighur"/>
          <w:b/>
          <w:bCs/>
          <w:sz w:val="27"/>
          <w:szCs w:val="27"/>
          <w:lang w:val="fa-IR" w:eastAsia="fa-IR"/>
        </w:rPr>
        <w:t xml:space="preserve">92٫6٫26 </w:t>
      </w:r>
    </w:p>
    <w:p>
      <w:pPr>
        <w:pStyle w:val="Bodytext20"/>
        <w:framePr w:w="403" w:h="317" w:hRule="atLeast" w:wrap="none" w:vAnchor="margin" w:hAnchor="margin" w:x="305" w:y="1693"/>
        <w:spacing w:after="0" w:line="240" w:lineRule="auto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lang w:val="fa-IR" w:eastAsia="fa-IR"/>
        </w:rPr>
        <w:t xml:space="preserve">ندارد </w:t>
      </w:r>
    </w:p>
    <w:p>
      <w:pPr>
        <w:pStyle w:val="Bodytext20"/>
        <w:framePr w:w="610" w:h="357" w:hRule="atLeast" w:wrap="none" w:vAnchor="margin" w:hAnchor="margin" w:x="202" w:y="2506"/>
        <w:spacing w:before="160" w:after="0" w:line="240" w:lineRule="auto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lang w:val="fa-IR" w:eastAsia="fa-IR"/>
        </w:rPr>
        <w:t xml:space="preserve">آنها کمتر از ۵۰ میباشد ( مشمول واگذاری، برگزاری مجامع عمومی آنها با حضور </w:t>
      </w:r>
    </w:p>
    <w:p>
      <w:pPr>
        <w:framePr w:wrap="auto"/>
        <w:bidi w:val="0"/>
        <w:spacing w:before="0" w:after="0" w:line="36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36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36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36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36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36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36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36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621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  <w:sectPr>
          <w:pgSz w:w="11900" w:h="16840"/>
          <w:pgMar w:top="385" w:right="2220" w:bottom="358" w:left="1235" w:header="0" w:footer="3" w:gutter="0"/>
          <w:pgNumType w:start="3"/>
          <w:cols w:space="720"/>
          <w:bidi w:val="0"/>
          <w:docGrid w:linePitch="360"/>
        </w:sectPr>
      </w:pPr>
    </w:p>
    <w:p>
      <w:pPr>
        <w:pStyle w:val="Bodytext10"/>
        <w:framePr w:wrap="auto"/>
        <w:spacing w:after="220" w:line="454" w:lineRule="auto"/>
        <w:ind w:firstLine="14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بپیوست لیست شرکتهای مشمول واگذاری ) واگذار شده بصورت کنترلی و در حال واگذاری ) جهت انطباق با قوانین و موارد فوق ارسال می گردد . </w:t>
      </w:r>
    </w:p>
    <w:p>
      <w:pPr>
        <w:pStyle w:val="Bodytext20"/>
        <w:framePr w:wrap="auto"/>
        <w:spacing w:after="140" w:line="240" w:lineRule="auto"/>
        <w:ind w:right="578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lang w:val="fa-IR" w:eastAsia="fa-IR"/>
        </w:rPr>
        <w:t xml:space="preserve">مرتضی ادب </w:t>
      </w:r>
    </w:p>
    <w:p>
      <w:pPr>
        <w:pStyle w:val="Bodytext20"/>
        <w:framePr w:wrap="auto"/>
        <w:spacing w:after="9860" w:line="240" w:lineRule="auto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lang w:val="fa-IR" w:eastAsia="fa-IR"/>
        </w:rPr>
        <w:t xml:space="preserve">مدیر کل ثبت شرکتها و موسسات غیر تجاری </w:t>
      </w:r>
    </w:p>
    <w:p>
      <w:pPr>
        <w:pStyle w:val="Bodytext301"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300"/>
          <w:rFonts w:ascii="Microsoft Uighur" w:hAnsi="Microsoft Uighur" w:cs="Microsoft Uighur"/>
          <w:b/>
          <w:bCs/>
          <w:color w:val="000000"/>
          <w:u w:val="none"/>
          <w:lang w:val="fa-IR" w:eastAsia="fa-IR" w:bidi="ar-SA"/>
        </w:rPr>
        <w:t xml:space="preserve">www.ssaa.ir 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0" w:h="16840"/>
      <w:pgMar w:top="385" w:right="2226" w:bottom="358" w:left="1448" w:header="0" w:footer="3" w:gutter="0"/>
      <w:cols w:space="720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icrosoft Uighur">
    <w:charset w:val="B2"/>
    <w:family w:val="roman"/>
    <w:pitch w:val="default"/>
    <w:sig w:usb0="00000000" w:usb1="00000000" w:usb2="00000000" w:usb3="00000000" w:csb0="00000041" w:csb1="00000000"/>
  </w:font>
  <w:font w:name="Times New Roman">
    <w:charset w:val="B2"/>
    <w:family w:val="roman"/>
    <w:pitch w:val="default"/>
    <w:sig w:usb0="00000000" w:usb1="00000000" w:usb2="00000000" w:usb3="00000000" w:csb0="00000041" w:csb1="00000000"/>
  </w:font>
  <w:font w:name="Arial">
    <w:charset w:val="B2"/>
    <w:family w:val="swiss"/>
    <w:pitch w:val="default"/>
    <w:sig w:usb0="00000000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width:71.45pt;height:6.9pt;margin-top:803.75pt;margin-left:255pt;mso-position-horizontal-relative:page;mso-position-vertical-relative:page;mso-wrap-distance-left:0;mso-wrap-distance-right:0;mso-wrap-style:none;position:absolute;z-index:-251658240" filled="f" stroked="f">
          <v:textbox style="mso-fit-shape-to-text:t" inset="0,0,0,0">
            <w:txbxContent>
              <w:p>
                <w:pPr>
                  <w:pStyle w:val="Headerorfooter20"/>
                  <w:rPr>
                    <w:b w:val="0"/>
                    <w:bCs w:val="0"/>
                    <w:i w:val="0"/>
                    <w:iCs w:val="0"/>
                    <w:smallCaps w:val="0"/>
                    <w:strike w:val="0"/>
                    <w:sz w:val="24"/>
                    <w:szCs w:val="24"/>
                    <w:u w:val="none"/>
                  </w:rPr>
                </w:pPr>
                <w:r>
                  <w:rPr>
                    <w:rStyle w:val="Headerorfooter2"/>
                    <w:color w:val="014F00"/>
                    <w:sz w:val="28"/>
                    <w:szCs w:val="28"/>
                  </w:rPr>
                  <w:t>www.ssaa.ir</w:t>
                </w:r>
              </w:p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47.5pt;height:9.2pt;margin-top:41.7pt;margin-left:73pt;mso-position-horizontal-relative:page;mso-position-vertical-relative:page;mso-wrap-distance-left:0;mso-wrap-distance-right:0;mso-wrap-style:none;position:absolute;z-index:-251658240" filled="f" stroked="f">
          <v:textbox style="mso-fit-shape-to-text:t" inset="0,0,0,0">
            <w:txbxContent>
              <w:p>
                <w:pPr>
                  <w:pStyle w:val="Headerorfooter20"/>
                  <w:rPr>
                    <w:b w:val="0"/>
                    <w:bCs w:val="0"/>
                    <w:i w:val="0"/>
                    <w:iCs w:val="0"/>
                    <w:smallCaps w:val="0"/>
                    <w:strike w:val="0"/>
                    <w:sz w:val="24"/>
                    <w:szCs w:val="24"/>
                    <w:u w:val="none"/>
                  </w:rPr>
                </w:pPr>
                <w:r>
                  <w:rPr>
                    <w:rStyle w:val="Headerorfooter2"/>
                  </w:rPr>
                  <w:t>92/109247</w:t>
                </w:r>
              </w:p>
            </w:txbxContent>
          </v:textbox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0"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compat>
    <w:doNotExpandShiftReturn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pPr>
      <w:widowControl w:val="0"/>
      <w:autoSpaceDE/>
      <w:autoSpaceDN/>
      <w:bidi w:val="0"/>
      <w:adjustRightInd/>
      <w:spacing w:before="0" w:after="0" w:line="240" w:lineRule="auto"/>
      <w:ind w:left="0" w:right="0" w:firstLine="0"/>
      <w:jc w:val="left"/>
      <w:textAlignment w:val="auto"/>
    </w:pPr>
    <w:rPr>
      <w:rFonts w:ascii="Times New Roman" w:hAnsi="Times New Roman" w:cs="Times New Roman"/>
      <w:snapToGrid/>
      <w:color w:val="000000"/>
      <w:spacing w:val="0"/>
      <w:w w:val="100"/>
      <w:position w:val="0"/>
      <w:sz w:val="24"/>
      <w:szCs w:val="24"/>
      <w:lang w:val="fa-IR" w:eastAsia="fa-IR" w:bidi="ar-SA"/>
    </w:rPr>
  </w:style>
  <w:style w:type="character" w:default="1" w:styleId="DefaultParagraphFont">
    <w:name w:val="Default Paragraph Font"/>
    <w:uiPriority w:val="99"/>
  </w:style>
  <w:style w:type="character" w:customStyle="1" w:styleId="Bodytext2">
    <w:name w:val="Body text|2_"/>
    <w:basedOn w:val="DefaultParagraphFont"/>
    <w:link w:val="Bodytext20"/>
    <w:uiPriority w:val="99"/>
    <w:rPr>
      <w:rFonts w:ascii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bidi="ar-SA"/>
    </w:rPr>
  </w:style>
  <w:style w:type="character" w:customStyle="1" w:styleId="Bodytext1">
    <w:name w:val="Body text|1_"/>
    <w:basedOn w:val="DefaultParagraphFont"/>
    <w:link w:val="Bodytext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bidi="ar-SA"/>
    </w:rPr>
  </w:style>
  <w:style w:type="character" w:customStyle="1" w:styleId="Heading11">
    <w:name w:val="Heading #1|1_"/>
    <w:basedOn w:val="DefaultParagraphFont"/>
    <w:link w:val="Heading1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8"/>
      <w:szCs w:val="38"/>
      <w:u w:val="none"/>
      <w:lang w:bidi="ar-SA"/>
    </w:rPr>
  </w:style>
  <w:style w:type="character" w:customStyle="1" w:styleId="Bodytext3">
    <w:name w:val="Body text|3_"/>
    <w:basedOn w:val="DefaultParagraphFont"/>
    <w:link w:val="Bodytext3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bidi="ar-SA"/>
    </w:rPr>
  </w:style>
  <w:style w:type="character" w:customStyle="1" w:styleId="Headerorfooter2">
    <w:name w:val="Header or footer|2_"/>
    <w:basedOn w:val="DefaultParagraphFont"/>
    <w:link w:val="Headerorfooter20"/>
    <w:uiPriority w:val="99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/>
    </w:rPr>
  </w:style>
  <w:style w:type="paragraph" w:customStyle="1" w:styleId="Bodytext20">
    <w:name w:val="Body text|2"/>
    <w:basedOn w:val="Normal"/>
    <w:link w:val="Bodytext2"/>
    <w:uiPriority w:val="99"/>
    <w:pPr>
      <w:bidi/>
      <w:spacing w:before="0" w:after="370" w:line="382" w:lineRule="auto"/>
      <w:ind w:left="0" w:right="0" w:firstLine="0"/>
      <w:jc w:val="center"/>
    </w:pPr>
    <w:rPr>
      <w:rFonts w:ascii="Arial" w:hAnsi="Arial" w:cs="Arial"/>
      <w:b/>
      <w:bCs/>
      <w:i w:val="0"/>
      <w:iCs w:val="0"/>
      <w:smallCaps w:val="0"/>
      <w:strike w:val="0"/>
      <w:color w:val="auto"/>
      <w:spacing w:val="0"/>
      <w:w w:val="100"/>
      <w:position w:val="0"/>
      <w:sz w:val="30"/>
      <w:szCs w:val="30"/>
      <w:u w:val="none"/>
    </w:rPr>
  </w:style>
  <w:style w:type="paragraph" w:customStyle="1" w:styleId="Bodytext10">
    <w:name w:val="Body text|1"/>
    <w:basedOn w:val="Normal"/>
    <w:link w:val="Bodytext1"/>
    <w:uiPriority w:val="99"/>
    <w:pPr>
      <w:bidi/>
      <w:spacing w:before="0" w:after="0" w:line="434" w:lineRule="auto"/>
      <w:ind w:left="0" w:right="0" w:firstLine="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  <w:style w:type="paragraph" w:customStyle="1" w:styleId="Heading110">
    <w:name w:val="Heading #1|1"/>
    <w:basedOn w:val="Normal"/>
    <w:link w:val="Heading11"/>
    <w:uiPriority w:val="99"/>
    <w:pPr>
      <w:bidi/>
      <w:spacing w:before="0" w:after="120" w:line="240" w:lineRule="auto"/>
      <w:ind w:left="0" w:right="0" w:firstLine="0"/>
      <w:jc w:val="left"/>
      <w:outlineLvl w:val="0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38"/>
      <w:szCs w:val="38"/>
      <w:u w:val="none"/>
    </w:rPr>
  </w:style>
  <w:style w:type="paragraph" w:customStyle="1" w:styleId="Bodytext30">
    <w:name w:val="Body text|3"/>
    <w:basedOn w:val="Normal"/>
    <w:link w:val="Bodytext3"/>
    <w:uiPriority w:val="99"/>
    <w:pPr>
      <w:bidi w:val="0"/>
      <w:spacing w:before="0" w:after="0" w:line="240" w:lineRule="auto"/>
      <w:ind w:left="0" w:right="0" w:firstLine="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  <w:style w:type="paragraph" w:customStyle="1" w:styleId="Headerorfooter20">
    <w:name w:val="Header or footer|2"/>
    <w:basedOn w:val="Normal"/>
    <w:link w:val="Headerorfooter2"/>
    <w:uiPriority w:val="99"/>
    <w:pPr>
      <w:bidi w:val="0"/>
      <w:spacing w:before="0" w:after="0" w:line="240" w:lineRule="auto"/>
      <w:ind w:left="0" w:right="0" w:firstLine="0"/>
      <w:jc w:val="left"/>
    </w:pPr>
    <w:rPr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  <w:lang w:val="en-US" w:eastAsia="en-US"/>
    </w:rPr>
  </w:style>
  <w:style w:type="character" w:customStyle="1" w:styleId="Bodytext4">
    <w:name w:val="Body text|4_"/>
    <w:basedOn w:val="DefaultParagraphFont"/>
    <w:link w:val="Bodytext40"/>
    <w:uiPriority w:val="99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paragraph" w:customStyle="1" w:styleId="Bodytext40">
    <w:name w:val="Body text|4"/>
    <w:basedOn w:val="Normal"/>
    <w:link w:val="Bodytext4"/>
    <w:uiPriority w:val="99"/>
    <w:pPr>
      <w:bidi w:val="0"/>
      <w:spacing w:before="0" w:after="0" w:line="240" w:lineRule="auto"/>
      <w:ind w:left="0" w:right="0" w:firstLine="0"/>
      <w:jc w:val="left"/>
    </w:pPr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  <w:style w:type="character" w:customStyle="1" w:styleId="Heading21">
    <w:name w:val="Heading #2|1_"/>
    <w:basedOn w:val="DefaultParagraphFont"/>
    <w:link w:val="Heading2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bidi="ar-SA"/>
    </w:rPr>
  </w:style>
  <w:style w:type="paragraph" w:customStyle="1" w:styleId="Heading210">
    <w:name w:val="Heading #2|1"/>
    <w:basedOn w:val="Normal"/>
    <w:link w:val="Heading21"/>
    <w:uiPriority w:val="99"/>
    <w:pPr>
      <w:bidi/>
      <w:spacing w:before="0" w:after="0" w:line="240" w:lineRule="auto"/>
      <w:ind w:left="0" w:right="0" w:firstLine="0"/>
      <w:jc w:val="left"/>
      <w:outlineLvl w:val="1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30"/>
      <w:szCs w:val="30"/>
      <w:u w:val="none"/>
    </w:rPr>
  </w:style>
  <w:style w:type="character" w:customStyle="1" w:styleId="Bodytext5">
    <w:name w:val="Body text|5_"/>
    <w:basedOn w:val="DefaultParagraphFont"/>
    <w:link w:val="Bodytext5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bidi="ar-SA"/>
    </w:rPr>
  </w:style>
  <w:style w:type="paragraph" w:customStyle="1" w:styleId="Bodytext50">
    <w:name w:val="Body text|5"/>
    <w:basedOn w:val="Normal"/>
    <w:link w:val="Bodytext5"/>
    <w:uiPriority w:val="99"/>
    <w:pPr>
      <w:bidi w:val="0"/>
      <w:spacing w:before="0" w:after="0" w:line="240" w:lineRule="auto"/>
      <w:ind w:left="0" w:right="0" w:firstLine="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  <w:style w:type="character" w:customStyle="1" w:styleId="Bodytext300">
    <w:name w:val="Body text|3__0"/>
    <w:basedOn w:val="DefaultParagraphFont"/>
    <w:link w:val="Bodytext301"/>
    <w:uiPriority w:val="99"/>
    <w:rPr>
      <w:b w:val="0"/>
      <w:bCs w:val="0"/>
      <w:i w:val="0"/>
      <w:iCs w:val="0"/>
      <w:smallCaps w:val="0"/>
      <w:strike w:val="0"/>
      <w:color w:val="014F00"/>
      <w:spacing w:val="0"/>
      <w:w w:val="100"/>
      <w:position w:val="0"/>
      <w:sz w:val="28"/>
      <w:szCs w:val="28"/>
      <w:u w:val="single"/>
    </w:rPr>
  </w:style>
  <w:style w:type="paragraph" w:customStyle="1" w:styleId="Bodytext301">
    <w:name w:val="Body text|3_0"/>
    <w:basedOn w:val="Normal"/>
    <w:link w:val="Bodytext300"/>
    <w:uiPriority w:val="99"/>
    <w:pPr>
      <w:bidi w:val="0"/>
      <w:spacing w:before="0" w:after="220" w:line="240" w:lineRule="auto"/>
      <w:ind w:left="0" w:right="0" w:firstLine="0"/>
      <w:jc w:val="center"/>
    </w:pPr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14F00"/>
      <w:spacing w:val="0"/>
      <w:w w:val="100"/>
      <w:position w:val="0"/>
      <w:sz w:val="28"/>
      <w:szCs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4.xml" /><Relationship Id="rId11" Type="http://schemas.openxmlformats.org/officeDocument/2006/relationships/footer" Target="footer4.xm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2.xml" /><Relationship Id="rId9" Type="http://schemas.openxmlformats.org/officeDocument/2006/relationships/footer" Target="foot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r.hashemi</dc:creator>
  <cp:revision>0</cp:revision>
</cp:coreProperties>
</file>