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34pt;margin-left:452.45pt;mso-position-horizontal-relative:margin;mso-wrap-distance-left:5pt;mso-wrap-distance-right:5pt;position:absolute;z-index:-251658240">
            <v:imagedata r:id="rId4" o:title=""/>
            <w10:wrap type="square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70.55pt;height:83.8pt;margin-top:19pt;margin-left:0.55pt;mso-position-horizontal-relative:margin;mso-wrap-distance-left:9pt;mso-wrap-distance-right:9pt;position:absolute;z-index:251659264" filled="f" stroked="f">
            <v:textbox inset="0,0,0,0">
              <w:txbxContent>
                <w:p>
                  <w:pPr>
                    <w:pStyle w:val="Bodytext40"/>
                    <w:spacing w:after="160"/>
                    <w:ind w:firstLine="42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b/>
                      <w:bCs/>
                      <w:sz w:val="27"/>
                      <w:szCs w:val="27"/>
                      <w:lang w:val="fa-IR" w:eastAsia="fa-IR"/>
                    </w:rPr>
                    <w:t xml:space="preserve">٩١٫١٤٠٧٠٣ </w:t>
                  </w:r>
                </w:p>
                <w:p>
                  <w:pPr>
                    <w:pStyle w:val="Bodytext5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5"/>
                      <w:rFonts w:ascii="Microsoft Uighur" w:hAnsi="Microsoft Uighur" w:cs="Microsoft Uighur"/>
                      <w:b/>
                      <w:bCs/>
                      <w:i w:val="0"/>
                      <w:iCs w:val="0"/>
                      <w:color w:val="000000"/>
                      <w:lang w:val="fa-IR" w:eastAsia="fa-IR"/>
                    </w:rPr>
                    <w:t xml:space="preserve">٩١٫٧٫٢٤ </w:t>
                  </w:r>
                </w:p>
                <w:p>
                  <w:pPr>
                    <w:pStyle w:val="Bodytext40"/>
                    <w:spacing w:after="100"/>
                    <w:ind w:firstLine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b/>
                      <w:bCs/>
                      <w:sz w:val="27"/>
                      <w:szCs w:val="27"/>
                      <w:lang w:val="fa-IR" w:eastAsia="fa-IR"/>
                    </w:rPr>
                    <w:t xml:space="preserve">تاریخ: </w:t>
                  </w:r>
                </w:p>
                <w:p>
                  <w:pPr>
                    <w:pStyle w:val="Bodytext20"/>
                    <w:spacing w:after="140" w:line="240" w:lineRule="auto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() قوه قضائیه سازمان ثبت اسناد و املاک کشور </w:t>
      </w:r>
    </w:p>
    <w:p>
      <w:pPr>
        <w:pStyle w:val="Bodytext3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 ........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سلام علیکم </w:t>
      </w:r>
      <w:bookmarkStart w:id="0" w:name="bookmark0"/>
      <w:bookmarkEnd w:id="0"/>
    </w:p>
    <w:p>
      <w:pPr>
        <w:pStyle w:val="Bodytext10"/>
        <w:framePr w:wrap="auto"/>
        <w:spacing w:line="540" w:lineRule="auto"/>
        <w:ind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در خصوص مراجعات بی رویه برخی از سهامداران و شرکاء شرکت ها و موسسات غیر تجاری به منظور ارائه اعتراضات و اظهار نظرهای نسبت به ثبت یا عدم ثبت صورتجلسات و یا در خصوص وص اختلافات فی مابین سهامداران در تشکیل مجامع عمومی و هیات مدیره و درخواست رسیدگی به اختلافات في مابين ، توسط مرجع ثبت شرکتها به استحضار می رساند : </w:t>
      </w:r>
    </w:p>
    <w:p>
      <w:pPr>
        <w:pStyle w:val="Bodytext10"/>
        <w:framePr w:wrap="auto"/>
        <w:spacing w:line="540" w:lineRule="auto"/>
        <w:ind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عنایت به مفاد نظریه مشورتی شماره ۹۱٫۱۳۸۲۳۵ مورخ ۹۱٫۰۷٫۲۲ دفتر محترم حقوقی تصویر پیوست و با ملحوظ ماده ۲۷۰ و ۲۴۳ به بعد لایحه اصلاحی قانون تجارت در خصوص صلاحیت دادگاه صالح در رسیدگی به این اعتراضات و تاکیدی بر اعلامی بودن مراجع ثبت شرکت ها و جلوگیری از ورود ماهیتی به اختلافات شرکتها و بروز مشکلات عدیده در روند بررسی پرونده توسط کارشناسان و حجیم شدن پرونده های ثبتی خواهشمند است از وصول و ثبت این قبیل اعتراضات و اظهار نظرها و ضبط آن در پرونده تشکیلی توسط مرجع ثبت شرکتها خودداری به عمل آید. </w:t>
      </w:r>
    </w:p>
    <w:p>
      <w:pPr>
        <w:pStyle w:val="Bodytext10"/>
        <w:framePr w:wrap="auto"/>
        <w:spacing w:after="420" w:line="403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خواهشمند است ضمن تکریم ارباب رجوع و ارشاد لازم به شرح فوق و تاکید بر تمایز این قبیل مستندات با ا اعتراضات واصله از عملکرد واحد ثبت شرکتها دستورات لازم را صادر تا همزمان با ساماندهی محتویات پرونده ها ، نظارت لازم برابر تکالیف قانونی بر عملکرد کارکنان ذیربط به عمل آید . </w:t>
      </w:r>
    </w:p>
    <w:p>
      <w:pPr>
        <w:pStyle w:val="Bodytext10"/>
        <w:framePr w:wrap="auto"/>
        <w:spacing w:after="100" w:line="240" w:lineRule="auto"/>
        <w:ind w:right="6400"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260" w:line="240" w:lineRule="auto"/>
        <w:ind w:right="4700"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سرپرست ثبت شرکتها و موسسات غیر تجاری </w:t>
      </w:r>
    </w:p>
    <w:sectPr>
      <w:footerReference w:type="default" r:id="rId5"/>
      <w:pgSz w:w="11900" w:h="16840"/>
      <w:pgMar w:top="385" w:right="1621" w:bottom="765" w:left="1437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4">
    <w:name w:val="Body text|4_"/>
    <w:basedOn w:val="DefaultParagraphFont"/>
    <w:link w:val="Bodytext4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Bodytext5">
    <w:name w:val="Body text|5_"/>
    <w:basedOn w:val="DefaultParagraphFont"/>
    <w:link w:val="Bodytext5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375836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130" w:line="240" w:lineRule="auto"/>
      <w:ind w:left="0" w:right="0" w:firstLine="21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50">
    <w:name w:val="Body text|5"/>
    <w:basedOn w:val="Normal"/>
    <w:link w:val="Bodytext5"/>
    <w:uiPriority w:val="99"/>
    <w:pPr>
      <w:bidi/>
      <w:spacing w:before="0" w:after="0" w:line="240" w:lineRule="auto"/>
      <w:ind w:left="0" w:right="0" w:firstLine="0"/>
      <w:jc w:val="center"/>
    </w:pPr>
    <w:rPr>
      <w:rFonts w:ascii="B Nazanin" w:hAnsi="B Nazanin" w:cs="B Nazanin"/>
      <w:b w:val="0"/>
      <w:bCs w:val="0"/>
      <w:i/>
      <w:iCs/>
      <w:smallCaps w:val="0"/>
      <w:strike w:val="0"/>
      <w:color w:val="375836"/>
      <w:spacing w:val="0"/>
      <w:w w:val="100"/>
      <w:position w:val="0"/>
      <w:sz w:val="28"/>
      <w:szCs w:val="28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500" w:line="252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75836"/>
      <w:spacing w:val="0"/>
      <w:w w:val="100"/>
      <w:position w:val="0"/>
      <w:sz w:val="28"/>
      <w:szCs w:val="28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5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100" w:line="240" w:lineRule="auto"/>
      <w:ind w:left="0" w:right="0" w:firstLine="0"/>
      <w:jc w:val="left"/>
      <w:outlineLvl w:val="0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80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