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ثبت شرکتها و موسسات غیرتجاری </w:t>
      </w:r>
    </w:p>
    <w:p>
      <w:pPr>
        <w:pStyle w:val="Bodytext20"/>
        <w:framePr w:wrap="auto"/>
        <w:ind w:firstLine="2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ثبت اسناد و املاک استان </w:t>
      </w:r>
    </w:p>
    <w:p>
      <w:pPr>
        <w:pStyle w:val="Bodytext20"/>
        <w:framePr w:wrap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۹۰٫۱۹۲۹۳۸ </w:t>
      </w:r>
    </w:p>
    <w:p>
      <w:pPr>
        <w:pStyle w:val="Bodytext20"/>
        <w:framePr w:wrap="auto"/>
        <w:spacing w:after="52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۹۰٫۱۰٫۲۶ </w:t>
      </w:r>
    </w:p>
    <w:p>
      <w:pPr>
        <w:pStyle w:val="Bodytext20"/>
        <w:framePr w:wrap="auto"/>
        <w:spacing w:after="8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سلام علیکم ؛ </w:t>
      </w:r>
    </w:p>
    <w:p>
      <w:pPr>
        <w:pStyle w:val="Bodytext10"/>
        <w:framePr w:wrap="auto"/>
        <w:spacing w:line="542" w:lineRule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احتراماً پیرو بخشنامه شماره ۹۰٫۳۹۸۵۲ - ۹۰٫۳٫۲ مبنی بر لزوم اخذ مجوز از بانک مرکزی قبل از هرگونه اقدام ثبتی در خصوص مؤسسات مذکور در تبصره «۱» ماده (۹۶) قانون برنامه پنجم توسعه اعلام میدارد: با توجه به نامه شماره ۹۰٫۲۱۸۶۷۰ مورخ ۹۰٫۹٫۱۷ رئیس کل محترم بانک مرکزی جمهوری اسلامی ایران تصویر پیوست) صرفاً در ثبت انحلال صندوقهای قرض الحسنه ، تعاونیهای اعتبار ، شرکتهای لیزینگ و صرافیهای فاقد مجوز نیازی به اخذ مجوز از بانک مرکزی نمی باشد . بدیهی است موسساتی که با مجوز بانک مرکزی تأسیس گردیده اند ثبت تغییرات و انحلال آنها کماکان با مجوز از بانک یاد شده به عمل خواهد آمد . ا ن </w:t>
      </w:r>
    </w:p>
    <w:p>
      <w:pPr>
        <w:pStyle w:val="Bodytext20"/>
        <w:framePr w:wrap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سید علی رضا میرشریفی معاون امور اسناد </w:t>
      </w:r>
    </w:p>
    <w:p>
      <w:pPr>
        <w:pStyle w:val="Bodytext20"/>
        <w:framePr w:wrap="auto"/>
        <w:spacing w:after="80" w:line="240" w:lineRule="auto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رونوشت : </w:t>
      </w:r>
    </w:p>
    <w:p>
      <w:pPr>
        <w:pStyle w:val="Bodytext3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sz w:val="23"/>
          <w:szCs w:val="23"/>
          <w:lang w:val="fa-IR" w:eastAsia="fa-IR"/>
        </w:rPr>
        <w:t xml:space="preserve">اداره کل ثبت شرکتها و موسسات غیر تجاری بازگشت به نامه شماره ۹۰٫۱۸۲۲۱۳ مورخ ۹۰٫۱۰٫۱۰ </w:t>
      </w:r>
    </w:p>
    <w:p>
      <w:pPr>
        <w:pStyle w:val="Bodytext3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sz w:val="23"/>
          <w:szCs w:val="23"/>
          <w:lang w:val="fa-IR" w:eastAsia="fa-IR"/>
        </w:rPr>
        <w:t xml:space="preserve">رئیس کل بانک مرکزی جمهوری اسلامی ایران بازگشت به نامه مورد اشاره جهت استحضار </w:t>
      </w:r>
    </w:p>
    <w:sectPr>
      <w:pgSz w:w="8400" w:h="11900"/>
      <w:pgMar w:top="1861" w:right="804" w:bottom="810" w:left="607" w:header="1433" w:footer="382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0" w:line="35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80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80" w:line="240" w:lineRule="auto"/>
      <w:ind w:left="0" w:right="0" w:firstLine="38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Mohsen</dc:creator>
  <cp:revision>0</cp:revision>
</cp:coreProperties>
</file>